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9C" w:rsidRDefault="00F7459C" w:rsidP="00F7459C">
      <w:pPr>
        <w:shd w:val="clear" w:color="auto" w:fill="FFFFFF"/>
        <w:spacing w:after="0" w:line="280" w:lineRule="atLeast"/>
        <w:outlineLvl w:val="0"/>
        <w:rPr>
          <w:rFonts w:ascii="Garamond" w:eastAsia="Times New Roman" w:hAnsi="Garamond" w:cs="Times New Roman"/>
          <w:b/>
          <w:bCs/>
          <w:color w:val="3B3B3B"/>
          <w:kern w:val="36"/>
          <w:sz w:val="48"/>
          <w:szCs w:val="48"/>
        </w:rPr>
      </w:pPr>
    </w:p>
    <w:p w:rsidR="00F7459C" w:rsidRDefault="00F7459C" w:rsidP="00F7459C">
      <w:pPr>
        <w:shd w:val="clear" w:color="auto" w:fill="FFFFFF"/>
        <w:spacing w:after="0" w:line="280" w:lineRule="atLeast"/>
        <w:outlineLvl w:val="0"/>
        <w:rPr>
          <w:rFonts w:ascii="Garamond" w:eastAsia="Times New Roman" w:hAnsi="Garamond" w:cs="Times New Roman"/>
          <w:b/>
          <w:bCs/>
          <w:color w:val="3B3B3B"/>
          <w:kern w:val="36"/>
          <w:sz w:val="48"/>
          <w:szCs w:val="48"/>
        </w:rPr>
      </w:pPr>
    </w:p>
    <w:p w:rsidR="00F7459C" w:rsidRDefault="00F7459C" w:rsidP="00F7459C">
      <w:pPr>
        <w:shd w:val="clear" w:color="auto" w:fill="FFFFFF"/>
        <w:spacing w:after="0" w:line="280" w:lineRule="atLeast"/>
        <w:outlineLvl w:val="0"/>
        <w:rPr>
          <w:rFonts w:ascii="Garamond" w:eastAsia="Times New Roman" w:hAnsi="Garamond" w:cs="Times New Roman"/>
          <w:b/>
          <w:bCs/>
          <w:color w:val="3B3B3B"/>
          <w:kern w:val="36"/>
          <w:sz w:val="48"/>
          <w:szCs w:val="48"/>
        </w:rPr>
      </w:pPr>
    </w:p>
    <w:p w:rsidR="00F7459C" w:rsidRDefault="00F7459C" w:rsidP="00F7459C">
      <w:pPr>
        <w:shd w:val="clear" w:color="auto" w:fill="FFFFFF"/>
        <w:spacing w:after="0" w:line="280" w:lineRule="atLeast"/>
        <w:outlineLvl w:val="0"/>
        <w:rPr>
          <w:rFonts w:ascii="Garamond" w:eastAsia="Times New Roman" w:hAnsi="Garamond" w:cs="Times New Roman"/>
          <w:b/>
          <w:bCs/>
          <w:color w:val="3B3B3B"/>
          <w:kern w:val="36"/>
          <w:sz w:val="48"/>
          <w:szCs w:val="48"/>
        </w:rPr>
      </w:pPr>
    </w:p>
    <w:p w:rsidR="00F7459C" w:rsidRDefault="00F7459C" w:rsidP="00F7459C">
      <w:pPr>
        <w:shd w:val="clear" w:color="auto" w:fill="FFFFFF"/>
        <w:spacing w:after="0" w:line="280" w:lineRule="atLeast"/>
        <w:outlineLvl w:val="0"/>
        <w:rPr>
          <w:rFonts w:ascii="Garamond" w:eastAsia="Times New Roman" w:hAnsi="Garamond" w:cs="Times New Roman"/>
          <w:b/>
          <w:bCs/>
          <w:color w:val="3B3B3B"/>
          <w:kern w:val="36"/>
          <w:sz w:val="48"/>
          <w:szCs w:val="48"/>
        </w:rPr>
      </w:pPr>
    </w:p>
    <w:p w:rsidR="00F7459C" w:rsidRPr="00F7459C" w:rsidRDefault="00F7459C" w:rsidP="00F7459C">
      <w:pPr>
        <w:pStyle w:val="Heading2"/>
        <w:shd w:val="clear" w:color="auto" w:fill="FFFFFF"/>
        <w:textAlignment w:val="top"/>
        <w:rPr>
          <w:rFonts w:ascii="Garamond" w:hAnsi="Garamond" w:cs="Times New Roman"/>
          <w:bCs w:val="0"/>
          <w:color w:val="830E16"/>
          <w:sz w:val="40"/>
          <w:szCs w:val="40"/>
        </w:rPr>
      </w:pPr>
      <w:r w:rsidRPr="00F7459C">
        <w:rPr>
          <w:rFonts w:ascii="Garamond" w:hAnsi="Garamond" w:cs="Times New Roman"/>
          <w:bCs w:val="0"/>
          <w:color w:val="830E16"/>
          <w:sz w:val="40"/>
          <w:szCs w:val="40"/>
        </w:rPr>
        <w:t>Crna Gora i Program Ujedinjenih nacija za razvoj (UNDP)</w:t>
      </w:r>
    </w:p>
    <w:p w:rsidR="00F7459C" w:rsidRDefault="00F7459C" w:rsidP="00F7459C"/>
    <w:p w:rsidR="00F7459C" w:rsidRPr="00F7459C" w:rsidRDefault="00F7459C" w:rsidP="00F7459C"/>
    <w:p w:rsidR="00F7459C" w:rsidRDefault="00F7459C" w:rsidP="00F7459C">
      <w:pPr>
        <w:shd w:val="clear" w:color="auto" w:fill="FFFFFF"/>
        <w:jc w:val="both"/>
        <w:textAlignment w:val="top"/>
        <w:rPr>
          <w:rFonts w:ascii="Garamond" w:hAnsi="Garamond" w:cs="Times New Roman"/>
          <w:color w:val="000000"/>
          <w:sz w:val="24"/>
          <w:szCs w:val="24"/>
        </w:rPr>
      </w:pPr>
      <w:proofErr w:type="gramStart"/>
      <w:r w:rsidRPr="00F7459C">
        <w:rPr>
          <w:rFonts w:ascii="Garamond" w:hAnsi="Garamond" w:cs="Times New Roman"/>
          <w:color w:val="000000"/>
          <w:sz w:val="24"/>
          <w:szCs w:val="24"/>
        </w:rPr>
        <w:t>UNDP je već niz godina prisutan u Crnoj Gori.</w:t>
      </w:r>
      <w:proofErr w:type="gramEnd"/>
      <w:r w:rsidRPr="00F7459C">
        <w:rPr>
          <w:rFonts w:ascii="Garamond" w:hAnsi="Garamond" w:cs="Times New Roman"/>
          <w:color w:val="000000"/>
          <w:sz w:val="24"/>
          <w:szCs w:val="24"/>
        </w:rPr>
        <w:t xml:space="preserve"> Osnovni dokument o saradnji Vlade Crne Gore i UNDP potpisan je 15. </w:t>
      </w:r>
      <w:proofErr w:type="gramStart"/>
      <w:r w:rsidRPr="00F7459C">
        <w:rPr>
          <w:rFonts w:ascii="Garamond" w:hAnsi="Garamond" w:cs="Times New Roman"/>
          <w:color w:val="000000"/>
          <w:sz w:val="24"/>
          <w:szCs w:val="24"/>
        </w:rPr>
        <w:t>decembra</w:t>
      </w:r>
      <w:proofErr w:type="gramEnd"/>
      <w:r w:rsidRPr="00F7459C">
        <w:rPr>
          <w:rFonts w:ascii="Garamond" w:hAnsi="Garamond" w:cs="Times New Roman"/>
          <w:color w:val="000000"/>
          <w:sz w:val="24"/>
          <w:szCs w:val="24"/>
        </w:rPr>
        <w:t xml:space="preserve"> 2006. </w:t>
      </w:r>
      <w:proofErr w:type="gramStart"/>
      <w:r w:rsidRPr="00F7459C">
        <w:rPr>
          <w:rFonts w:ascii="Garamond" w:hAnsi="Garamond" w:cs="Times New Roman"/>
          <w:color w:val="000000"/>
          <w:sz w:val="24"/>
          <w:szCs w:val="24"/>
        </w:rPr>
        <w:t>godine</w:t>
      </w:r>
      <w:proofErr w:type="gramEnd"/>
      <w:r w:rsidRPr="00F7459C">
        <w:rPr>
          <w:rFonts w:ascii="Garamond" w:hAnsi="Garamond" w:cs="Times New Roman"/>
          <w:color w:val="000000"/>
          <w:sz w:val="24"/>
          <w:szCs w:val="24"/>
        </w:rPr>
        <w:t xml:space="preserve">. </w:t>
      </w:r>
      <w:proofErr w:type="gramStart"/>
      <w:r w:rsidRPr="00F7459C">
        <w:rPr>
          <w:rFonts w:ascii="Garamond" w:hAnsi="Garamond" w:cs="Times New Roman"/>
          <w:color w:val="000000"/>
          <w:sz w:val="24"/>
          <w:szCs w:val="24"/>
        </w:rPr>
        <w:t>Njime su definisani uslovi za saradnju i podršku UNDP i ostalih agencija koju pružaju razvojnim projektima Vlade Crne Gore, a koji obuhvataju savjetodavne usluge, ekspertsku podršku kroz seminare, programe obuke, radne grupe i konkretne razvojne projekte.</w:t>
      </w:r>
      <w:proofErr w:type="gramEnd"/>
      <w:r w:rsidRPr="00F7459C">
        <w:rPr>
          <w:rStyle w:val="apple-converted-space"/>
          <w:rFonts w:ascii="Garamond" w:hAnsi="Garamond" w:cs="Times New Roman"/>
          <w:color w:val="000000"/>
          <w:sz w:val="24"/>
          <w:szCs w:val="24"/>
        </w:rPr>
        <w:t> </w:t>
      </w:r>
      <w:r w:rsidRPr="00F7459C">
        <w:rPr>
          <w:rFonts w:ascii="Garamond" w:hAnsi="Garamond" w:cs="Times New Roman"/>
          <w:color w:val="000000"/>
          <w:sz w:val="24"/>
          <w:szCs w:val="24"/>
        </w:rPr>
        <w:br/>
        <w:t xml:space="preserve">Programi UNDP u Crnoj Gori pretpostavljaju zajedničke aktivnosti i podršku u oblastima socijalne inkluzije, institucionalnih reformi i reformi pravosuđa, održivog ekonomskog razvoja i zaštite životne sredine, a, takođe, nastoje da ukažu ostalim agencijama i organizacijama iz sistema UN </w:t>
      </w:r>
      <w:proofErr w:type="gramStart"/>
      <w:r w:rsidRPr="00F7459C">
        <w:rPr>
          <w:rFonts w:ascii="Garamond" w:hAnsi="Garamond" w:cs="Times New Roman"/>
          <w:color w:val="000000"/>
          <w:sz w:val="24"/>
          <w:szCs w:val="24"/>
        </w:rPr>
        <w:t>na</w:t>
      </w:r>
      <w:proofErr w:type="gramEnd"/>
      <w:r w:rsidRPr="00F7459C">
        <w:rPr>
          <w:rFonts w:ascii="Garamond" w:hAnsi="Garamond" w:cs="Times New Roman"/>
          <w:color w:val="000000"/>
          <w:sz w:val="24"/>
          <w:szCs w:val="24"/>
        </w:rPr>
        <w:t xml:space="preserve"> razvojne prioritete i posebne potrebe u cilju jačanja i koordinacije UN sistema na nacionalnom nivou. Ministarstvo inostranih poslova je u saradnji </w:t>
      </w:r>
      <w:proofErr w:type="gramStart"/>
      <w:r w:rsidRPr="00F7459C">
        <w:rPr>
          <w:rFonts w:ascii="Garamond" w:hAnsi="Garamond" w:cs="Times New Roman"/>
          <w:color w:val="000000"/>
          <w:sz w:val="24"/>
          <w:szCs w:val="24"/>
        </w:rPr>
        <w:t>sa</w:t>
      </w:r>
      <w:proofErr w:type="gramEnd"/>
      <w:r w:rsidRPr="00F7459C">
        <w:rPr>
          <w:rFonts w:ascii="Garamond" w:hAnsi="Garamond" w:cs="Times New Roman"/>
          <w:color w:val="000000"/>
          <w:sz w:val="24"/>
          <w:szCs w:val="24"/>
        </w:rPr>
        <w:t xml:space="preserve"> nadležnim organima i zajedno sa UNDP usaglasilo tekst Akcionog plana za sprovođenje Programa saradnje Vlade Crne Gore i UNDP za period 2007-2011, koji su potpisali ministar inostranih poslova Milan Roćen i stalni predstavnik UNDP u Crnoj Gori Aleksandar Avanesov, u Podgorici 10. </w:t>
      </w:r>
      <w:proofErr w:type="gramStart"/>
      <w:r w:rsidRPr="00F7459C">
        <w:rPr>
          <w:rFonts w:ascii="Garamond" w:hAnsi="Garamond" w:cs="Times New Roman"/>
          <w:color w:val="000000"/>
          <w:sz w:val="24"/>
          <w:szCs w:val="24"/>
        </w:rPr>
        <w:t>septembra</w:t>
      </w:r>
      <w:proofErr w:type="gramEnd"/>
      <w:r w:rsidRPr="00F7459C">
        <w:rPr>
          <w:rFonts w:ascii="Garamond" w:hAnsi="Garamond" w:cs="Times New Roman"/>
          <w:color w:val="000000"/>
          <w:sz w:val="24"/>
          <w:szCs w:val="24"/>
        </w:rPr>
        <w:t xml:space="preserve"> 2008. g. Sporazum obuhvata širok spektar projekata saradnje u oblastima</w:t>
      </w:r>
      <w:r w:rsidRPr="00F7459C">
        <w:rPr>
          <w:rStyle w:val="apple-converted-space"/>
          <w:rFonts w:ascii="Garamond" w:hAnsi="Garamond" w:cs="Times New Roman"/>
          <w:b/>
          <w:bCs/>
          <w:color w:val="000000"/>
          <w:sz w:val="24"/>
          <w:szCs w:val="24"/>
        </w:rPr>
        <w:t> </w:t>
      </w:r>
      <w:r w:rsidRPr="00F7459C">
        <w:rPr>
          <w:rFonts w:ascii="Garamond" w:hAnsi="Garamond" w:cs="Times New Roman"/>
          <w:color w:val="000000"/>
          <w:sz w:val="24"/>
          <w:szCs w:val="24"/>
        </w:rPr>
        <w:t>socijalne inkluzije marginalizovanih grupa i smanjenja siromaštva, izgradnje kapaciteta javne uprave, energetskog razvoja, očuvanja okoline i održivog razvoja.</w:t>
      </w:r>
    </w:p>
    <w:p w:rsidR="00F7459C" w:rsidRPr="00F7459C" w:rsidRDefault="00F7459C" w:rsidP="00F7459C">
      <w:pPr>
        <w:shd w:val="clear" w:color="auto" w:fill="FFFFFF"/>
        <w:jc w:val="both"/>
        <w:textAlignment w:val="top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                      </w:t>
      </w:r>
      <w:r w:rsidRPr="00F7459C">
        <w:rPr>
          <w:rFonts w:ascii="Garamond" w:eastAsia="Times New Roman" w:hAnsi="Garamond" w:cs="Times New Roman"/>
          <w:b/>
          <w:bCs/>
          <w:color w:val="3B3B3B"/>
          <w:kern w:val="36"/>
          <w:sz w:val="48"/>
          <w:szCs w:val="48"/>
        </w:rPr>
        <w:t>Svetski Izveštaj 2015: Srbija</w:t>
      </w:r>
    </w:p>
    <w:p w:rsidR="00F7459C" w:rsidRDefault="00F7459C" w:rsidP="00F7459C">
      <w:pPr>
        <w:shd w:val="clear" w:color="auto" w:fill="FFFFFF"/>
        <w:spacing w:after="0" w:line="280" w:lineRule="atLeast"/>
        <w:outlineLvl w:val="0"/>
        <w:rPr>
          <w:rFonts w:ascii="Garamond" w:eastAsia="Times New Roman" w:hAnsi="Garamond" w:cs="Times New Roman"/>
          <w:b/>
          <w:bCs/>
          <w:color w:val="3B3B3B"/>
          <w:kern w:val="36"/>
          <w:sz w:val="48"/>
          <w:szCs w:val="48"/>
        </w:rPr>
      </w:pPr>
    </w:p>
    <w:p w:rsidR="00F7459C" w:rsidRPr="00F7459C" w:rsidRDefault="00F7459C" w:rsidP="00F7459C">
      <w:pPr>
        <w:shd w:val="clear" w:color="auto" w:fill="FFFFFF"/>
        <w:spacing w:after="0" w:line="280" w:lineRule="atLeast"/>
        <w:outlineLvl w:val="0"/>
        <w:rPr>
          <w:rFonts w:ascii="Garamond" w:eastAsia="Times New Roman" w:hAnsi="Garamond" w:cs="Times New Roman"/>
          <w:b/>
          <w:bCs/>
          <w:color w:val="3B3B3B"/>
          <w:kern w:val="36"/>
          <w:sz w:val="48"/>
          <w:szCs w:val="48"/>
        </w:rPr>
      </w:pPr>
    </w:p>
    <w:p w:rsidR="00F7459C" w:rsidRDefault="00F7459C" w:rsidP="00F7459C">
      <w:pPr>
        <w:pStyle w:val="NormalWeb"/>
        <w:shd w:val="clear" w:color="auto" w:fill="FFFFFF"/>
        <w:spacing w:line="405" w:lineRule="atLeast"/>
        <w:rPr>
          <w:rFonts w:ascii="Garamond" w:hAnsi="Garamond"/>
          <w:color w:val="868686"/>
          <w:sz w:val="27"/>
          <w:szCs w:val="27"/>
        </w:rPr>
      </w:pPr>
      <w:proofErr w:type="gramStart"/>
      <w:r>
        <w:rPr>
          <w:rFonts w:ascii="Garamond" w:hAnsi="Garamond"/>
          <w:color w:val="868686"/>
          <w:sz w:val="27"/>
          <w:szCs w:val="27"/>
        </w:rPr>
        <w:lastRenderedPageBreak/>
        <w:t>U Srbiji je u 2014.</w:t>
      </w:r>
      <w:proofErr w:type="gramEnd"/>
      <w:r>
        <w:rPr>
          <w:rFonts w:ascii="Garamond" w:hAnsi="Garamond"/>
          <w:color w:val="868686"/>
          <w:sz w:val="27"/>
          <w:szCs w:val="27"/>
        </w:rPr>
        <w:t xml:space="preserve"> </w:t>
      </w:r>
      <w:proofErr w:type="gramStart"/>
      <w:r>
        <w:rPr>
          <w:rFonts w:ascii="Garamond" w:hAnsi="Garamond"/>
          <w:color w:val="868686"/>
          <w:sz w:val="27"/>
          <w:szCs w:val="27"/>
        </w:rPr>
        <w:t>ostvaren</w:t>
      </w:r>
      <w:proofErr w:type="gramEnd"/>
      <w:r>
        <w:rPr>
          <w:rFonts w:ascii="Garamond" w:hAnsi="Garamond"/>
          <w:color w:val="868686"/>
          <w:sz w:val="27"/>
          <w:szCs w:val="27"/>
        </w:rPr>
        <w:t xml:space="preserve"> ograničeni napredak u oblasti zaštite ljudskih prava. </w:t>
      </w:r>
      <w:proofErr w:type="gramStart"/>
      <w:r>
        <w:rPr>
          <w:rFonts w:ascii="Garamond" w:hAnsi="Garamond"/>
          <w:color w:val="868686"/>
          <w:sz w:val="27"/>
          <w:szCs w:val="27"/>
        </w:rPr>
        <w:t>Krivična gonjanja za ratne zločine odvijaju se sporo i bez političke podrške.</w:t>
      </w:r>
      <w:proofErr w:type="gramEnd"/>
      <w:r>
        <w:rPr>
          <w:rFonts w:ascii="Garamond" w:hAnsi="Garamond"/>
          <w:color w:val="868686"/>
          <w:sz w:val="27"/>
          <w:szCs w:val="27"/>
        </w:rPr>
        <w:t xml:space="preserve"> </w:t>
      </w:r>
      <w:proofErr w:type="gramStart"/>
      <w:r>
        <w:rPr>
          <w:rFonts w:ascii="Garamond" w:hAnsi="Garamond"/>
          <w:color w:val="868686"/>
          <w:sz w:val="27"/>
          <w:szCs w:val="27"/>
        </w:rPr>
        <w:t>Romska manjina se i dalje suočava s napadima i maltretiranjem.</w:t>
      </w:r>
      <w:proofErr w:type="gramEnd"/>
      <w:r>
        <w:rPr>
          <w:rFonts w:ascii="Garamond" w:hAnsi="Garamond"/>
          <w:color w:val="868686"/>
          <w:sz w:val="27"/>
          <w:szCs w:val="27"/>
        </w:rPr>
        <w:t xml:space="preserve"> Za novinare je situacija i dalje nesigurna, i dolazi do napada, pretnji i tužbi zbog izveštavanja o osetljivim pitanjima. </w:t>
      </w:r>
      <w:proofErr w:type="gramStart"/>
      <w:r>
        <w:rPr>
          <w:rFonts w:ascii="Garamond" w:hAnsi="Garamond"/>
          <w:color w:val="868686"/>
          <w:sz w:val="27"/>
          <w:szCs w:val="27"/>
        </w:rPr>
        <w:t>Neprijateljsko raspoloženje prema pripadnicima lezbejske, gej, biseksualne i transrodne zajednice (LGBT) i dalje je prisutno i uključuje pretnje i napade.</w:t>
      </w:r>
      <w:proofErr w:type="gramEnd"/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color w:val="auto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Odgovornost za ratne zločine</w:t>
      </w:r>
      <w:bookmarkStart w:id="0" w:name="28e155"/>
      <w:bookmarkEnd w:id="0"/>
    </w:p>
    <w:p w:rsidR="00F7459C" w:rsidRDefault="00F7459C" w:rsidP="00F7459C">
      <w:pPr>
        <w:pStyle w:val="NormalWeb"/>
      </w:pPr>
      <w:proofErr w:type="gramStart"/>
      <w:r>
        <w:t>Krivična gonjenja za ratne zločine su se u toku 2014.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 odvijala sporo zbog nepostojanja političke podrške, nedostatka resursa i malog broja zaposlenih u Tužilaštvu za ratne zločine. Za ratne zločine krivično se goni </w:t>
      </w:r>
      <w:proofErr w:type="gramStart"/>
      <w:r>
        <w:t>mali</w:t>
      </w:r>
      <w:proofErr w:type="gramEnd"/>
      <w:r>
        <w:t xml:space="preserve"> broj nekadašnjih visokih vojnih i civilnih lica. </w:t>
      </w:r>
      <w:proofErr w:type="gramStart"/>
      <w:r>
        <w:t>Tokom godine, Veće za ratne zločine izreklo je presude u šest predmeta, uključujući i dve presude po žalbama.</w:t>
      </w:r>
      <w:proofErr w:type="gramEnd"/>
      <w:r>
        <w:t xml:space="preserve"> Tužilaštvo za ratne zločine podiglo je optužnice protiv pet lica za zločine </w:t>
      </w:r>
      <w:proofErr w:type="gramStart"/>
      <w:r>
        <w:t>nad</w:t>
      </w:r>
      <w:proofErr w:type="gramEnd"/>
      <w:r>
        <w:t xml:space="preserve"> civilima, uključujući i optužnicu protiv generala bivše Vojske Jugoslavije Dragana Živanovića za ratne zločine na Kosovu tokom 1999. </w:t>
      </w:r>
      <w:proofErr w:type="gramStart"/>
      <w:r>
        <w:t>godine</w:t>
      </w:r>
      <w:proofErr w:type="gramEnd"/>
      <w:r>
        <w:t>. U vreme pisanja ovog izveštaja, u toku je bilo šest suđenja, optužnice su podignute u 16 predmeta koji čekaju na suđenje, a istraga je vođena u 20 predmeta. </w:t>
      </w:r>
    </w:p>
    <w:p w:rsidR="00F7459C" w:rsidRDefault="00F7459C" w:rsidP="00F7459C">
      <w:pPr>
        <w:pStyle w:val="NormalWeb"/>
      </w:pPr>
      <w:r>
        <w:t xml:space="preserve">U februaru je Veće osudilo devet bivših pripadnika Vojske Jugoslavije na ukupno 106 godina zatvora, zbog ubistva više od 120 albanskih civila na Kosovu 1999. </w:t>
      </w:r>
      <w:proofErr w:type="gramStart"/>
      <w:r>
        <w:t>godine</w:t>
      </w:r>
      <w:proofErr w:type="gramEnd"/>
      <w:r>
        <w:t xml:space="preserve">. Takođe u februaru, Veće je osudilo Đuru Tadića </w:t>
      </w:r>
      <w:proofErr w:type="gramStart"/>
      <w:r>
        <w:t>na</w:t>
      </w:r>
      <w:proofErr w:type="gramEnd"/>
      <w:r>
        <w:t xml:space="preserve"> 10 godina zatvora zbog učestvovanja u ubistvu 18 lica među kojima je bila i jedna trinaestogodišnja devojčica, koje su počinile snage bosanskih Srba na severozapadu Bosne i Hercegovine (BiH) u septembru 1992. </w:t>
      </w:r>
      <w:proofErr w:type="gramStart"/>
      <w:r>
        <w:t>godine</w:t>
      </w:r>
      <w:proofErr w:type="gramEnd"/>
      <w:r>
        <w:t xml:space="preserve">. Dva saoptužena osuđena su </w:t>
      </w:r>
      <w:proofErr w:type="gramStart"/>
      <w:r>
        <w:t>na</w:t>
      </w:r>
      <w:proofErr w:type="gramEnd"/>
      <w:r>
        <w:t xml:space="preserve"> 11, odnosno 10 godina zatvora.</w:t>
      </w:r>
    </w:p>
    <w:p w:rsidR="00F7459C" w:rsidRDefault="00F7459C" w:rsidP="00F7459C">
      <w:pPr>
        <w:pStyle w:val="NormalWeb"/>
      </w:pPr>
      <w:proofErr w:type="gramStart"/>
      <w:r>
        <w:t>U vreme pisanja ovog izveštaja, protokol o ratnim zločinima iz februara 2013.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 koji su potpisale BiH, Srbija, Hrvatska i Crna Gora, u kom se detaljno navodi razmena informacija i saradnja, nije doveo do novih krivičnih gonjenja ni osuđujućih presuda po osnovu prosleđivanja predmeta.</w:t>
      </w:r>
    </w:p>
    <w:p w:rsidR="00F7459C" w:rsidRDefault="00F7459C" w:rsidP="00F7459C">
      <w:pPr>
        <w:pStyle w:val="NormalWeb"/>
      </w:pPr>
      <w:proofErr w:type="gramStart"/>
      <w:r>
        <w:t>U februaru 2014.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, prvostepeni sud u Beogradu odbacio je građanske tužbe 12 bivših hrvatskih zarobljenika protiv Srbije za mučenje u zarobljeništvu 1991. </w:t>
      </w:r>
      <w:proofErr w:type="gramStart"/>
      <w:r>
        <w:t>godine</w:t>
      </w:r>
      <w:proofErr w:type="gramEnd"/>
      <w:r>
        <w:t xml:space="preserve"> zbog zastare tužbe i zbog nepostojnja osuđujućih presuda u krivičnim postupcima za navodna zlostavljanja kao osnove za građanske tužbe.</w:t>
      </w:r>
    </w:p>
    <w:p w:rsidR="00F7459C" w:rsidRDefault="00F7459C" w:rsidP="00F7459C">
      <w:pPr>
        <w:pStyle w:val="NormalWeb"/>
      </w:pPr>
      <w:proofErr w:type="gramStart"/>
      <w:r>
        <w:t>U januaru je Žalbeno veće Međunarodnog krivičnog suda za bivšu Jugoslaviju (MKSJ) potvrdilo osuđujuću presudu za zločine protiv čovečnosti bivšem pomoćniku ministra unutrašnjih poslova Republike Srbije Vlastimiru Đorđeviću za ubistvo, progon i prisilnu deportaciju kosovskih Albanaca 1999.</w:t>
      </w:r>
      <w:proofErr w:type="gramEnd"/>
      <w:r>
        <w:t xml:space="preserve"> </w:t>
      </w:r>
      <w:proofErr w:type="gramStart"/>
      <w:r>
        <w:t>godine</w:t>
      </w:r>
      <w:proofErr w:type="gramEnd"/>
      <w:r>
        <w:t>, ali mu je smanjila kaznu sa 27 na 18 godina.</w:t>
      </w:r>
    </w:p>
    <w:p w:rsidR="00F7459C" w:rsidRDefault="00F7459C" w:rsidP="00F7459C">
      <w:pPr>
        <w:pStyle w:val="NormalWeb"/>
      </w:pPr>
      <w:proofErr w:type="gramStart"/>
      <w:r>
        <w:t xml:space="preserve">Takođe u januaru, Žalbeno veće MKSJ-a potvrdilo je osuđujuću presudu bivšem jugoslovenskom zameniku ministra Nikoli Šainoviću, bivšim generalima Vojske Jugoslavije </w:t>
      </w:r>
      <w:r>
        <w:lastRenderedPageBreak/>
        <w:t>Nebojši Pavkoviću i Vladimiru Lazareviću, kao i bivšem generalu srpske policije Sretenu Lukiću, za ubistvo, deportaciju i nečovečno postupanje prema kosovskim Albancima tokom 1999.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. </w:t>
      </w:r>
      <w:proofErr w:type="gramStart"/>
      <w:r>
        <w:t>Prilikom donošenja presude, većina sudija odbacila je obrazloženje iz presude Žalbenog veća MKSJ-a u predmetu Perišić iz 2014.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 da je optuženi morao „konkretno usmeravati“ pomoć za počinjenje zločina da bi bio kriv za pomaganje i podsticanje.</w:t>
      </w:r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Sloboda medija</w:t>
      </w:r>
      <w:bookmarkStart w:id="1" w:name="f3868c"/>
      <w:bookmarkEnd w:id="1"/>
    </w:p>
    <w:p w:rsidR="00F7459C" w:rsidRDefault="00F7459C" w:rsidP="00F7459C">
      <w:pPr>
        <w:pStyle w:val="NormalWeb"/>
      </w:pPr>
      <w:proofErr w:type="gramStart"/>
      <w:r>
        <w:t>Novinari su i dalje bili suočeni s pretnjama, maltretiranjem, zastrašivanjem i političkim i drugim uticajima.</w:t>
      </w:r>
      <w:proofErr w:type="gramEnd"/>
      <w:r>
        <w:t xml:space="preserve"> U periodu </w:t>
      </w:r>
      <w:proofErr w:type="gramStart"/>
      <w:r>
        <w:t>od</w:t>
      </w:r>
      <w:proofErr w:type="gramEnd"/>
      <w:r>
        <w:t xml:space="preserve"> januara do avgusta, Međunarodno udruženje novinara u Srbiji prijavilo je pet napada na novinare, tri direktne pretnje i 12 slučajeva političkog i drugog pritiska.</w:t>
      </w:r>
    </w:p>
    <w:p w:rsidR="00F7459C" w:rsidRDefault="00F7459C" w:rsidP="00F7459C">
      <w:pPr>
        <w:pStyle w:val="NormalWeb"/>
      </w:pPr>
      <w:proofErr w:type="gramStart"/>
      <w:r>
        <w:t>Početkom jula, urednika novinske agencije FoNet Davora Pašalića teško su pretukla tri nepoznata napadača koji su tražili novac i nazivali ga hrvatskim fašistom.</w:t>
      </w:r>
      <w:proofErr w:type="gramEnd"/>
      <w:r>
        <w:t xml:space="preserve"> </w:t>
      </w:r>
      <w:proofErr w:type="gramStart"/>
      <w:r>
        <w:t>Policija je u vreme pisanja ovog izveštaja vršila istragu.</w:t>
      </w:r>
      <w:proofErr w:type="gramEnd"/>
    </w:p>
    <w:p w:rsidR="00F7459C" w:rsidRDefault="00F7459C" w:rsidP="00F7459C">
      <w:pPr>
        <w:pStyle w:val="NormalWeb"/>
      </w:pPr>
      <w:proofErr w:type="gramStart"/>
      <w:r>
        <w:t>U maju su internetski portali Druga strana i Teleprompter pretrpeli hakerske napade koji su privremeno ugasili njihove vebsajtove koji su izveštavali o lošem upravljanju i neefikasnosti državnih institucija Srbije tokom teških poplava koje su pogodile zemlju nešto ranije tog meseca.</w:t>
      </w:r>
      <w:proofErr w:type="gramEnd"/>
      <w:r>
        <w:t xml:space="preserve"> </w:t>
      </w:r>
      <w:proofErr w:type="gramStart"/>
      <w:r>
        <w:t>Počinioci hakerskih napada još uvek su nepoznati.</w:t>
      </w:r>
      <w:proofErr w:type="gramEnd"/>
      <w:r>
        <w:t xml:space="preserve"> Srđan Škoro, bivši urednik dnevnog lista Večernje novosti, smenjen je u maju nakon što je u jednoj emisiji Radio Televizije Srbije kritički govorio o tome kako Vlada rešava probleme nastale usled poplava.</w:t>
      </w:r>
    </w:p>
    <w:p w:rsidR="00F7459C" w:rsidRDefault="00F7459C" w:rsidP="00F7459C">
      <w:pPr>
        <w:pStyle w:val="NormalWeb"/>
      </w:pPr>
      <w:r>
        <w:t xml:space="preserve">Vladina komisija za istragu o ubistvima tri istaknuta novinara pre više </w:t>
      </w:r>
      <w:proofErr w:type="gramStart"/>
      <w:r>
        <w:t>od</w:t>
      </w:r>
      <w:proofErr w:type="gramEnd"/>
      <w:r>
        <w:t xml:space="preserve"> jedne decenije osnovana 2013. </w:t>
      </w:r>
      <w:proofErr w:type="gramStart"/>
      <w:r>
        <w:t>godine</w:t>
      </w:r>
      <w:proofErr w:type="gramEnd"/>
      <w:r>
        <w:t xml:space="preserve"> ostvarila je napredak samo u jednom slučaju, što je dovelo do podizanja optužnica protiv četiri lica. </w:t>
      </w:r>
      <w:proofErr w:type="gramStart"/>
      <w:r>
        <w:t>Sedmočlana komisija ima zadatak da analizira sve ranije istrage, da utvrdi zašto one nisu uspele i da prikupi dokaze za pomoć u budućim krivičnim istragama.</w:t>
      </w:r>
      <w:proofErr w:type="gramEnd"/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Postupanje prema manjinama</w:t>
      </w:r>
      <w:bookmarkStart w:id="2" w:name="413da4"/>
      <w:bookmarkEnd w:id="2"/>
    </w:p>
    <w:p w:rsidR="00F7459C" w:rsidRDefault="00F7459C" w:rsidP="00F7459C">
      <w:pPr>
        <w:pStyle w:val="NormalWeb"/>
      </w:pPr>
      <w:proofErr w:type="gramStart"/>
      <w:r>
        <w:t>Napadi i maltretiranje romske manjine se nastavljaju.</w:t>
      </w:r>
      <w:proofErr w:type="gramEnd"/>
    </w:p>
    <w:p w:rsidR="00F7459C" w:rsidRDefault="00F7459C" w:rsidP="00F7459C">
      <w:pPr>
        <w:pStyle w:val="NormalWeb"/>
      </w:pPr>
      <w:r>
        <w:t xml:space="preserve">U februaru je grupa ljudi neromske nacionalnosti napala članove romske nevladine organizacije (NVO) u Novom Sadu, </w:t>
      </w:r>
      <w:proofErr w:type="gramStart"/>
      <w:r>
        <w:t>na</w:t>
      </w:r>
      <w:proofErr w:type="gramEnd"/>
      <w:r>
        <w:t xml:space="preserve"> severu Srbije. </w:t>
      </w:r>
      <w:proofErr w:type="gramStart"/>
      <w:r>
        <w:t>Romi su uspeli pobeći u kancelariju i pozvali su u pomoć policiju koja je odbila da pruži pomoć, kako kažu iz Evropskog centra za prava Roma (ERRC).</w:t>
      </w:r>
      <w:proofErr w:type="gramEnd"/>
      <w:r>
        <w:t xml:space="preserve"> </w:t>
      </w:r>
      <w:proofErr w:type="gramStart"/>
      <w:r>
        <w:t>U martu su dva lica neromske nacionalnosti palicama okrutno pretukla četiri člana nevladine organizacije.</w:t>
      </w:r>
      <w:proofErr w:type="gramEnd"/>
      <w:r>
        <w:t xml:space="preserve"> </w:t>
      </w:r>
      <w:proofErr w:type="gramStart"/>
      <w:r>
        <w:t>Jedan muškarac Rom zadobio je teške povrede glave, a druga dvojica su pretrpela laške povrede glave.</w:t>
      </w:r>
      <w:proofErr w:type="gramEnd"/>
      <w:r>
        <w:t xml:space="preserve"> </w:t>
      </w:r>
      <w:proofErr w:type="gramStart"/>
      <w:r>
        <w:t>U vreme pisanja ovog izveštaja policija je vršila istragu.</w:t>
      </w:r>
      <w:proofErr w:type="gramEnd"/>
    </w:p>
    <w:p w:rsidR="00F7459C" w:rsidRDefault="00F7459C" w:rsidP="00F7459C">
      <w:pPr>
        <w:pStyle w:val="NormalWeb"/>
      </w:pPr>
      <w:r>
        <w:t xml:space="preserve">U aprilu </w:t>
      </w:r>
      <w:proofErr w:type="gramStart"/>
      <w:r>
        <w:t>je  petnaestak</w:t>
      </w:r>
      <w:proofErr w:type="gramEnd"/>
      <w:r>
        <w:t xml:space="preserve"> muškaraca bacilo molotovljeve koktele na romsku protestantsku crkvu u selu Bosnajce na jugu Srbije i tom prilikom zapalilo prostoriju u kojoj se održavaju crkveni obredi. </w:t>
      </w:r>
      <w:proofErr w:type="gramStart"/>
      <w:r>
        <w:t>Povređenih nije bilo.</w:t>
      </w:r>
      <w:proofErr w:type="gramEnd"/>
      <w:r>
        <w:t xml:space="preserve"> Kako kažu iz ERRC-a, u aprilu su tri lica osuđena za taj napad i kažnjena </w:t>
      </w:r>
      <w:proofErr w:type="gramStart"/>
      <w:r>
        <w:t>sa</w:t>
      </w:r>
      <w:proofErr w:type="gramEnd"/>
      <w:r>
        <w:t xml:space="preserve"> 30 dana zatvora.</w:t>
      </w:r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lastRenderedPageBreak/>
        <w:t>Seksualna orijentacija i rodni identitet</w:t>
      </w:r>
      <w:bookmarkStart w:id="3" w:name="8e6bb2"/>
      <w:bookmarkEnd w:id="3"/>
    </w:p>
    <w:p w:rsidR="00F7459C" w:rsidRDefault="00F7459C" w:rsidP="00F7459C">
      <w:pPr>
        <w:pStyle w:val="NormalWeb"/>
      </w:pPr>
      <w:proofErr w:type="gramStart"/>
      <w:r>
        <w:t>LGBT osobe i dalje se suočavaju s netolerancijom, maltretiranjem i, najmanje u jednom slučaju, i s fizičkim nasiljem.</w:t>
      </w:r>
      <w:proofErr w:type="gramEnd"/>
    </w:p>
    <w:p w:rsidR="00F7459C" w:rsidRDefault="00F7459C" w:rsidP="00F7459C">
      <w:pPr>
        <w:pStyle w:val="NormalWeb"/>
      </w:pPr>
      <w:proofErr w:type="gramStart"/>
      <w:r>
        <w:t>U septembru je grupa muškaraca okrutno pretukla dvadesetsedmogodišnjeg nemačkog LGBT aktivistu koji je tom prilikom zadobio teške povrede zbog kojih je završio u bolnici.</w:t>
      </w:r>
      <w:proofErr w:type="gramEnd"/>
      <w:r>
        <w:t xml:space="preserve"> </w:t>
      </w:r>
      <w:proofErr w:type="gramStart"/>
      <w:r>
        <w:t>Policija je uhapsila trojicu osumnjičenih.</w:t>
      </w:r>
      <w:proofErr w:type="gramEnd"/>
      <w:r>
        <w:t xml:space="preserve"> U aprilu je Gej strejt alijansa dobila više e-mail poruka u kojima se poziva </w:t>
      </w:r>
      <w:proofErr w:type="gramStart"/>
      <w:r>
        <w:t>na</w:t>
      </w:r>
      <w:proofErr w:type="gramEnd"/>
      <w:r>
        <w:t xml:space="preserve"> ubijanje LGBT osoba i na čišćenje LGBT organizacija u Srbiji. </w:t>
      </w:r>
      <w:proofErr w:type="gramStart"/>
      <w:r>
        <w:t>Tri nedelje ranije, članovi Gej strejt alijanse telefonom su dobili pretnje smrću.</w:t>
      </w:r>
      <w:proofErr w:type="gramEnd"/>
      <w:r>
        <w:t xml:space="preserve"> </w:t>
      </w:r>
      <w:proofErr w:type="gramStart"/>
      <w:r>
        <w:t>Jedna lokalna LGBT grup izvestila je da policija nije identifikovala počinioce.</w:t>
      </w:r>
      <w:proofErr w:type="gramEnd"/>
    </w:p>
    <w:p w:rsidR="00F7459C" w:rsidRDefault="00F7459C" w:rsidP="00F7459C">
      <w:pPr>
        <w:pStyle w:val="NormalWeb"/>
      </w:pPr>
      <w:r>
        <w:t>U februaru je poverenica za zaštitu ravnopravnosti Nevena Petrušić objavila mišljenje da je beogradsko pozorište „Boško Buha“ diskriminisalo jedan gej časopis tako što mu je uskratilo informacije o jednoj od svojih predstava za objavljivanje u tom časopisu. </w:t>
      </w:r>
    </w:p>
    <w:p w:rsidR="00F7459C" w:rsidRDefault="00F7459C" w:rsidP="00F7459C">
      <w:pPr>
        <w:pStyle w:val="NormalWeb"/>
      </w:pPr>
      <w:proofErr w:type="gramStart"/>
      <w:r>
        <w:t>Beogradska parada ponosa predviđena za maj, koja je tri godine uzastopno otkazivana zbog navodnih bezbednosnih razloga, održana je krajem septembra uz jako policijsko obezbeđenje, a prisustvovalo joj je 1.000-1.500 lica, među kojima su bila i tri srpska ministra, predstavnik Evropske unije u Srbiji i nekoliko stranih diplomata.</w:t>
      </w:r>
      <w:proofErr w:type="gramEnd"/>
      <w:r>
        <w:t xml:space="preserve"> Nije bilo prijava o nasilju </w:t>
      </w:r>
      <w:proofErr w:type="gramStart"/>
      <w:r>
        <w:t>nad</w:t>
      </w:r>
      <w:proofErr w:type="gramEnd"/>
      <w:r>
        <w:t xml:space="preserve"> onima koji pružaju podršku LGBTosobama.</w:t>
      </w:r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Tražioci azila i raseljena lica</w:t>
      </w:r>
      <w:bookmarkStart w:id="4" w:name="9c07df"/>
      <w:bookmarkEnd w:id="4"/>
    </w:p>
    <w:p w:rsidR="00F7459C" w:rsidRDefault="00F7459C" w:rsidP="00F7459C">
      <w:pPr>
        <w:pStyle w:val="NormalWeb"/>
      </w:pPr>
      <w:proofErr w:type="gramStart"/>
      <w:r>
        <w:t>U prvih osam meseci 2014.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, u Srbiji je evidentirano 6.974 tražilaca azila, što predstavlja značajno povećanje u odnosu na 2.567 u istom periodu 2013. </w:t>
      </w:r>
      <w:proofErr w:type="gramStart"/>
      <w:r>
        <w:t>godine</w:t>
      </w:r>
      <w:proofErr w:type="gramEnd"/>
      <w:r>
        <w:t xml:space="preserve">. </w:t>
      </w:r>
      <w:proofErr w:type="gramStart"/>
      <w:r>
        <w:t>Najveća nacionalna grupa bili su Sirijci (3.696 lica).</w:t>
      </w:r>
      <w:proofErr w:type="gramEnd"/>
    </w:p>
    <w:p w:rsidR="00F7459C" w:rsidRDefault="00F7459C" w:rsidP="00F7459C">
      <w:pPr>
        <w:pStyle w:val="NormalWeb"/>
      </w:pPr>
      <w:r>
        <w:t xml:space="preserve">Tokom 2014, u Srbiji </w:t>
      </w:r>
      <w:proofErr w:type="gramStart"/>
      <w:r>
        <w:t>su ,</w:t>
      </w:r>
      <w:proofErr w:type="gramEnd"/>
      <w:r>
        <w:t xml:space="preserve"> uz već postojeća dva, otvorena tri nova prihvatna centra. Po prvi put </w:t>
      </w:r>
      <w:proofErr w:type="gramStart"/>
      <w:r>
        <w:t>od</w:t>
      </w:r>
      <w:proofErr w:type="gramEnd"/>
      <w:r>
        <w:t xml:space="preserve"> preuzimanja nadležnosti za postupak azila 2008. </w:t>
      </w:r>
      <w:proofErr w:type="gramStart"/>
      <w:r>
        <w:t>godine</w:t>
      </w:r>
      <w:proofErr w:type="gramEnd"/>
      <w:r>
        <w:t xml:space="preserve">, Kancelarija za azil odobrila je izbeglički status jednom azilantu i supsidijarnu zaštitu za još tri lica. Međutim, procedure za odobravanje azila i dalje su neadekvatne, a </w:t>
      </w:r>
      <w:proofErr w:type="gramStart"/>
      <w:r>
        <w:t>na</w:t>
      </w:r>
      <w:proofErr w:type="gramEnd"/>
      <w:r>
        <w:t xml:space="preserve"> rešavanje čeka hiljade zahteva.</w:t>
      </w:r>
    </w:p>
    <w:p w:rsidR="00F7459C" w:rsidRDefault="00F7459C" w:rsidP="00F7459C">
      <w:pPr>
        <w:pStyle w:val="NormalWeb"/>
      </w:pPr>
      <w:r>
        <w:t xml:space="preserve">Do septembra je u Srbiji evidentirano 96 dece migranata bez pratnje. Prema podacima Visokog komesarijata Ujedinjenih nacija za izbeglice (UNHCR), za decu migrante bez pratnje </w:t>
      </w:r>
      <w:proofErr w:type="gramStart"/>
      <w:r>
        <w:t>nema</w:t>
      </w:r>
      <w:proofErr w:type="gramEnd"/>
      <w:r>
        <w:t xml:space="preserve"> formalnih procedura za procenu starosne dobi, zbog čega su ona izložena riziku da se s njima postupa kao s odraslima i da ostanu bez specijalne zaštite. </w:t>
      </w:r>
      <w:proofErr w:type="gramStart"/>
      <w:r>
        <w:t>Staratelji određeni da zastupaju interese dece bez pratnje nisu dovoljno obučeni da bi mogli zadovoljiti njihove potrebe i retko ih posećuju nakon prvog kontakta.</w:t>
      </w:r>
      <w:proofErr w:type="gramEnd"/>
    </w:p>
    <w:p w:rsidR="00F7459C" w:rsidRDefault="00F7459C" w:rsidP="00F7459C">
      <w:pPr>
        <w:pStyle w:val="NormalWeb"/>
      </w:pPr>
      <w:r>
        <w:t xml:space="preserve">Srpske vlasti ostvarile su </w:t>
      </w:r>
      <w:proofErr w:type="gramStart"/>
      <w:r>
        <w:t>mali</w:t>
      </w:r>
      <w:proofErr w:type="gramEnd"/>
      <w:r>
        <w:t xml:space="preserve"> napredak prema pronalaženju trajnog rešenja za izbeglice i interno raseljena lica (IRL) iz balkanskih ratova koja žive u Srbiji. Prema podacima UNHCR-a, u julu je u Srbiji bilo 44.251 izbeglica, većinom iz Hrvatske, a u septembru 204.049 IRL, </w:t>
      </w:r>
      <w:proofErr w:type="gramStart"/>
      <w:r>
        <w:t>od</w:t>
      </w:r>
      <w:proofErr w:type="gramEnd"/>
      <w:r>
        <w:t xml:space="preserve"> kojih je većina s Kosova.</w:t>
      </w:r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lastRenderedPageBreak/>
        <w:t>Ključni međunarodni akteri</w:t>
      </w:r>
      <w:bookmarkStart w:id="5" w:name="d978f2"/>
      <w:bookmarkEnd w:id="5"/>
    </w:p>
    <w:p w:rsidR="00F7459C" w:rsidRDefault="00F7459C" w:rsidP="00F7459C">
      <w:pPr>
        <w:pStyle w:val="NormalWeb"/>
      </w:pPr>
      <w:r>
        <w:t xml:space="preserve">Ketrin Ešton (Catherine Ashton), visoka predstavnica EU za spoljnju i bezbednosnu politiku, je u aprilu odala priznanje </w:t>
      </w:r>
      <w:proofErr w:type="gramStart"/>
      <w:r>
        <w:t>novoj  srpskoj</w:t>
      </w:r>
      <w:proofErr w:type="gramEnd"/>
      <w:r>
        <w:t xml:space="preserve"> Vladi zbog opredeljenosti vlade za borbu protiv korupcije i uspostavu zakona i reda, ali nije naglasila obaveze Srbije na području ljudskih prava.</w:t>
      </w:r>
    </w:p>
    <w:p w:rsidR="00F7459C" w:rsidRDefault="00F7459C" w:rsidP="00F7459C">
      <w:pPr>
        <w:pStyle w:val="NormalWeb"/>
      </w:pPr>
      <w:r>
        <w:t xml:space="preserve">Evropski komesar za proširenje Štefan File (Štefan Füle) je u maju pohvalio napredovanje Srbije prema članstvu u EU i naglasio potrebu za jačanjem vladavine prava, </w:t>
      </w:r>
      <w:proofErr w:type="gramStart"/>
      <w:r>
        <w:t>ali</w:t>
      </w:r>
      <w:proofErr w:type="gramEnd"/>
      <w:r>
        <w:t xml:space="preserve"> nije pomenuo stanje ljudskih prava u Srbiji.</w:t>
      </w:r>
    </w:p>
    <w:p w:rsidR="00F7459C" w:rsidRDefault="00F7459C" w:rsidP="00F7459C">
      <w:pPr>
        <w:pStyle w:val="NormalWeb"/>
      </w:pPr>
      <w:r>
        <w:t xml:space="preserve">U izveštaju Evropske komisije o napretku Srbije iz oktobra, naglašena je potreba za poboljšanjem ustavnog i pravnog okvira, kako bi se obezbedilo efikasno i nezavisno pravosuđe, i izražena je zabrinutost u vezi </w:t>
      </w:r>
      <w:proofErr w:type="gramStart"/>
      <w:r>
        <w:t>sa</w:t>
      </w:r>
      <w:proofErr w:type="gramEnd"/>
      <w:r>
        <w:t xml:space="preserve"> slobodom izražavanja, uključujući stalne pretnje i nasilje nad novinarima. U izveštaju se takođe napominje mali broj istraga za ratne zločine koje srpske vlasti </w:t>
      </w:r>
      <w:proofErr w:type="gramStart"/>
      <w:r>
        <w:t>vode  protiv</w:t>
      </w:r>
      <w:proofErr w:type="gramEnd"/>
      <w:r>
        <w:t xml:space="preserve"> visokihoficira u predmetima za ratne zločine pred domaćim sudovima i blage kazne koje izriču srpski sudovi u tim predmetima.</w:t>
      </w:r>
    </w:p>
    <w:p w:rsidR="00F7459C" w:rsidRDefault="00F7459C" w:rsidP="00F7459C">
      <w:pPr>
        <w:pStyle w:val="NormalWeb"/>
      </w:pPr>
      <w:proofErr w:type="gramStart"/>
      <w:r>
        <w:t>U izveštaju Ministarstva spoljnih poslova Sjedinjenih Država o ljudskim pravima u Srbiji za 2013.</w:t>
      </w:r>
      <w:proofErr w:type="gramEnd"/>
      <w:r>
        <w:t xml:space="preserve"> </w:t>
      </w:r>
      <w:proofErr w:type="gramStart"/>
      <w:r>
        <w:t>godinu</w:t>
      </w:r>
      <w:proofErr w:type="gramEnd"/>
      <w:r>
        <w:t>, kao najteži problemi u vezi s ljudskim pravima tokom godine naglašeni su diskriminacija i napadi na manjine, naročito Rome, kao i maltretiranje novinara.</w:t>
      </w:r>
    </w:p>
    <w:p w:rsidR="00F7459C" w:rsidRDefault="00F7459C" w:rsidP="00F7459C">
      <w:pPr>
        <w:pStyle w:val="NormalWeb"/>
      </w:pPr>
      <w:r>
        <w:t xml:space="preserve">U maju je predstavnica Organizacije za bezbednost i saradnju u Evropi (OEBS) za slobodu medija Dunja Mijatović, izrazila zabrinutost zbog onlajn cenzurisanja u Srbiji, navodeći hakerske napade </w:t>
      </w:r>
      <w:proofErr w:type="gramStart"/>
      <w:r>
        <w:t>na</w:t>
      </w:r>
      <w:proofErr w:type="gramEnd"/>
      <w:r>
        <w:t xml:space="preserve"> vebsajtove koji kritički izveštavaju o reagovanju vlasti na krizu izazvanu poplavama.</w:t>
      </w:r>
    </w:p>
    <w:p w:rsidR="00F7459C" w:rsidRDefault="00F7459C" w:rsidP="00F7459C">
      <w:pPr>
        <w:pStyle w:val="NormalWeb"/>
      </w:pPr>
      <w:r>
        <w:t> </w:t>
      </w:r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bookmarkStart w:id="6" w:name="kosovo"/>
      <w:bookmarkEnd w:id="6"/>
      <w:r>
        <w:rPr>
          <w:rFonts w:ascii="Helvetica" w:hAnsi="Helvetica" w:cs="Helvetica"/>
          <w:sz w:val="40"/>
          <w:szCs w:val="40"/>
        </w:rPr>
        <w:t>Kosovo</w:t>
      </w:r>
      <w:bookmarkStart w:id="7" w:name="40e5f4"/>
      <w:bookmarkEnd w:id="7"/>
    </w:p>
    <w:p w:rsidR="00F7459C" w:rsidRDefault="00F7459C" w:rsidP="00F7459C">
      <w:pPr>
        <w:pStyle w:val="NormalWeb"/>
      </w:pPr>
      <w:proofErr w:type="gramStart"/>
      <w:r>
        <w:t>Evropska unija i Vlada Kosova postigli su 2014.</w:t>
      </w:r>
      <w:proofErr w:type="gramEnd"/>
      <w:r>
        <w:t xml:space="preserve"> </w:t>
      </w:r>
      <w:proofErr w:type="gramStart"/>
      <w:r>
        <w:t>istorijski</w:t>
      </w:r>
      <w:proofErr w:type="gramEnd"/>
      <w:r>
        <w:t xml:space="preserve"> sporazum za osnivanje specijalnog suda van Kosova, koji bi sudio za zločine koje su počinili bivši pripadnici Oslobodilačke vojske Kosova (OVK) tokom i posle rata na Kosovu 1998. </w:t>
      </w:r>
      <w:proofErr w:type="gramStart"/>
      <w:r>
        <w:t>i  1999</w:t>
      </w:r>
      <w:proofErr w:type="gramEnd"/>
      <w:r>
        <w:t xml:space="preserve">. </w:t>
      </w:r>
      <w:proofErr w:type="gramStart"/>
      <w:r>
        <w:t>godine</w:t>
      </w:r>
      <w:proofErr w:type="gramEnd"/>
      <w:r>
        <w:t>.</w:t>
      </w:r>
    </w:p>
    <w:p w:rsidR="00F7459C" w:rsidRDefault="00F7459C" w:rsidP="00F7459C">
      <w:pPr>
        <w:pStyle w:val="NormalWeb"/>
      </w:pPr>
      <w:proofErr w:type="gramStart"/>
      <w:r>
        <w:t>Dugotrajna nemogućnost formiranja vlade posle aprilskih izbora i kriza u vezi s ulogom Ustavnog suda dodatno su oslabili zaštitu ljudskih prava.</w:t>
      </w:r>
      <w:proofErr w:type="gramEnd"/>
      <w:r>
        <w:t xml:space="preserve"> Pravosudni sistem i dalje je preopterećen, a međunarodne sudije </w:t>
      </w:r>
      <w:proofErr w:type="gramStart"/>
      <w:r>
        <w:t>na</w:t>
      </w:r>
      <w:proofErr w:type="gramEnd"/>
      <w:r>
        <w:t xml:space="preserve"> Kosovu tvrde da postoji raširena korupcija među sudijama i tužiocima. </w:t>
      </w:r>
      <w:proofErr w:type="gramStart"/>
      <w:r>
        <w:t>Novinari i članovi lezbejske, gej, biseksualne i transrodne zajednice (LGBT) i dalje su suočeni s pretnjama i maltretiranjem.</w:t>
      </w:r>
      <w:proofErr w:type="gramEnd"/>
      <w:r>
        <w:t xml:space="preserve"> </w:t>
      </w:r>
      <w:proofErr w:type="gramStart"/>
      <w:r>
        <w:t>Međuetničke tenzije buknule su sredinom godine i romska, aškalska i egipatska zajednica i dalje su ugrožene zbog diskriminacije i socijalnog isključivanja.</w:t>
      </w:r>
      <w:proofErr w:type="gramEnd"/>
      <w:r>
        <w:t xml:space="preserve"> </w:t>
      </w:r>
      <w:proofErr w:type="gramStart"/>
      <w:r>
        <w:t>Parlament je izmenio postojeći zakon kako bi se pružila podrška žrtvama silovanja u ratu.</w:t>
      </w:r>
      <w:proofErr w:type="gramEnd"/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lastRenderedPageBreak/>
        <w:t>Nekažnjivost, odgovornost, pristup pravdi</w:t>
      </w:r>
      <w:bookmarkStart w:id="8" w:name="9abc89"/>
      <w:bookmarkEnd w:id="8"/>
    </w:p>
    <w:p w:rsidR="00F7459C" w:rsidRDefault="00F7459C" w:rsidP="00F7459C">
      <w:pPr>
        <w:pStyle w:val="NormalWeb"/>
      </w:pPr>
      <w:r>
        <w:t xml:space="preserve">Kosovski parlament je u aprilu odobrio osnivanje specijalnog suda koji bi bio lociran van Kosova i kojim bi predsedavale međunarodne sudije, </w:t>
      </w:r>
      <w:proofErr w:type="gramStart"/>
      <w:r>
        <w:t>te</w:t>
      </w:r>
      <w:proofErr w:type="gramEnd"/>
      <w:r>
        <w:t xml:space="preserve"> koji bi vodio krivične postupke koji proizlaze iz rada Specijalnog istražnog tima Evropske unije za istraživanje teških zlostavljanja počinjenih tokom i posle rata na Kosovu, osnovanog 2011. </w:t>
      </w:r>
      <w:proofErr w:type="gramStart"/>
      <w:r>
        <w:t>godine</w:t>
      </w:r>
      <w:proofErr w:type="gramEnd"/>
      <w:r>
        <w:t xml:space="preserve">. Rad Specijalnog istražnog tima zasniva se </w:t>
      </w:r>
      <w:proofErr w:type="gramStart"/>
      <w:r>
        <w:t>na</w:t>
      </w:r>
      <w:proofErr w:type="gramEnd"/>
      <w:r>
        <w:t xml:space="preserve"> zaključcima izveštaja Saveta Evrope iz 2010. </w:t>
      </w:r>
      <w:proofErr w:type="gramStart"/>
      <w:r>
        <w:t>godine</w:t>
      </w:r>
      <w:proofErr w:type="gramEnd"/>
      <w:r>
        <w:t xml:space="preserve">.  Sedište suda biće u Holandiji i očekuje se da </w:t>
      </w:r>
      <w:proofErr w:type="gramStart"/>
      <w:r>
        <w:t>će</w:t>
      </w:r>
      <w:proofErr w:type="gramEnd"/>
      <w:r>
        <w:t xml:space="preserve"> on početi s radom nakon što Skupština Kosova usvoji neophodne zakonodavne izmene.</w:t>
      </w:r>
    </w:p>
    <w:p w:rsidR="00F7459C" w:rsidRDefault="00F7459C" w:rsidP="00F7459C">
      <w:pPr>
        <w:pStyle w:val="NormalWeb"/>
      </w:pPr>
      <w:r>
        <w:t>Iako je mandat Misije EU za vladavinu prava (EULEX) u aprilu produžen do juna 2016, u junu je, na osnovu odluka država članica Evropske unije, značajno smanjen zbog prenosa nekih nadležnosti na lokalna pravosudna tela i tužilaštvo. U pismu šefu Izvršnog odeljenja EULEX-a iz januara, međunarodne sudije EULEX-a izrazile su zabrinutost zbog smanjenja misije, navodeći da lokalno pravosuđe nije u potpunosti opremljeno da bi moglo raditi na osetljivim i kompleksnim predmetima i da bi tužioci EULEX-a trebali i dalje raditi na krivičnom gonjenju za ratne zločine, organizovani kriminal, kao i na složenim predmetima korupcije.</w:t>
      </w:r>
    </w:p>
    <w:p w:rsidR="00F7459C" w:rsidRDefault="00F7459C" w:rsidP="00F7459C">
      <w:pPr>
        <w:pStyle w:val="NormalWeb"/>
      </w:pPr>
      <w:r>
        <w:t xml:space="preserve">Uprkos napretku poslednjih godina, pravosudni sistem </w:t>
      </w:r>
      <w:proofErr w:type="gramStart"/>
      <w:r>
        <w:t>na</w:t>
      </w:r>
      <w:proofErr w:type="gramEnd"/>
      <w:r>
        <w:t xml:space="preserve"> Kosovu i dalje je slab, a obezbeđenje sudija, sudskog osoblja, tužilaca, strana u postupku i svedoka je neadekvatno. To dovodi do malog broja krivičnih gonjenja za teška krivična dela, poput organizovanog kriminala i korupcije.</w:t>
      </w:r>
    </w:p>
    <w:p w:rsidR="00F7459C" w:rsidRDefault="00F7459C" w:rsidP="00F7459C">
      <w:pPr>
        <w:pStyle w:val="NormalWeb"/>
      </w:pPr>
      <w:r>
        <w:t xml:space="preserve">Specijalni istražni </w:t>
      </w:r>
      <w:proofErr w:type="gramStart"/>
      <w:r>
        <w:t>tim</w:t>
      </w:r>
      <w:proofErr w:type="gramEnd"/>
      <w:r>
        <w:t xml:space="preserve"> EU je u julu objavio svoje zaključke i saopštio da će protiv bivših visokih zvaničnika OVK biti podignute optužnice za zločine protiv čovečnosti i druga zlostavljanja počinjena nakon rata 1998. </w:t>
      </w:r>
      <w:proofErr w:type="gramStart"/>
      <w:r>
        <w:t>i</w:t>
      </w:r>
      <w:proofErr w:type="gramEnd"/>
      <w:r>
        <w:t xml:space="preserve"> 1999. </w:t>
      </w:r>
      <w:proofErr w:type="gramStart"/>
      <w:r>
        <w:t>godine</w:t>
      </w:r>
      <w:proofErr w:type="gramEnd"/>
      <w:r>
        <w:t>.</w:t>
      </w:r>
    </w:p>
    <w:p w:rsidR="00F7459C" w:rsidRDefault="00F7459C" w:rsidP="00F7459C">
      <w:pPr>
        <w:pStyle w:val="NormalWeb"/>
      </w:pPr>
      <w:r>
        <w:t xml:space="preserve">Nakon žalbe EULEX-a </w:t>
      </w:r>
      <w:proofErr w:type="gramStart"/>
      <w:r>
        <w:t>na</w:t>
      </w:r>
      <w:proofErr w:type="gramEnd"/>
      <w:r>
        <w:t xml:space="preserve"> oslobađajuću presudu iz novembra 2013, Apelacioni sud Kosova je u septembru ponovo otvorio predmet protiv bivšeg komandanta OVK Fatmira Limaja i devet saoptuženih, osumnjičenih za zlostavljanje zarobljenika u pritvorskom centru Klečka 1998 i 1999. </w:t>
      </w:r>
      <w:proofErr w:type="gramStart"/>
      <w:r>
        <w:t>godine</w:t>
      </w:r>
      <w:proofErr w:type="gramEnd"/>
      <w:r>
        <w:t xml:space="preserve"> Postupak će voditi dvoje sudija EULEX-a i jedan sudija s Kosova. Taj predmet pokazuje slabost programa zaštite svedoka </w:t>
      </w:r>
      <w:proofErr w:type="gramStart"/>
      <w:r>
        <w:t>na</w:t>
      </w:r>
      <w:proofErr w:type="gramEnd"/>
      <w:r>
        <w:t xml:space="preserve"> Kosovu: u prvom postupku 2012. </w:t>
      </w:r>
      <w:proofErr w:type="gramStart"/>
      <w:r>
        <w:t>godine</w:t>
      </w:r>
      <w:proofErr w:type="gramEnd"/>
      <w:r>
        <w:t xml:space="preserve">, svedočenje ključnog svedoka, koji je u decembru 2012. </w:t>
      </w:r>
      <w:proofErr w:type="gramStart"/>
      <w:r>
        <w:t>pronađen</w:t>
      </w:r>
      <w:proofErr w:type="gramEnd"/>
      <w:r>
        <w:t xml:space="preserve"> mrtav u jednom parku u Nemačkoj, što je policija nazvala samoubistvom, prvo je proglašeno nedopustivim, a onda, na ponovnom suđenju, kontradiktornim i nepouzdanim.</w:t>
      </w:r>
    </w:p>
    <w:p w:rsidR="00F7459C" w:rsidRDefault="00F7459C" w:rsidP="00F7459C">
      <w:pPr>
        <w:pStyle w:val="NormalWeb"/>
      </w:pPr>
      <w:r>
        <w:t xml:space="preserve">U maju je prvostepeni sud u Mitrovici, u predmetu koji se odnosio </w:t>
      </w:r>
      <w:proofErr w:type="gramStart"/>
      <w:r>
        <w:t>na</w:t>
      </w:r>
      <w:proofErr w:type="gramEnd"/>
      <w:r>
        <w:t xml:space="preserve"> ponovljene napade na dve Albanke koje su držane u pritvorskom centru OVK u Likovcu, oslobodio krivice bivšeg komandanta OVK Silejmana Selimija i tri saoptužena za ratne zločine počinjene tokom sukoba u periodu 1998 i1999. </w:t>
      </w:r>
      <w:proofErr w:type="gramStart"/>
      <w:r>
        <w:t>godine</w:t>
      </w:r>
      <w:proofErr w:type="gramEnd"/>
      <w:r>
        <w:t xml:space="preserve">. Sud je rekao da su dokazi preslabi i da je proteklo previše vremena </w:t>
      </w:r>
      <w:proofErr w:type="gramStart"/>
      <w:r>
        <w:t>od</w:t>
      </w:r>
      <w:proofErr w:type="gramEnd"/>
      <w:r>
        <w:t xml:space="preserve"> navodnog zlostavljanja.</w:t>
      </w:r>
    </w:p>
    <w:p w:rsidR="00F7459C" w:rsidRDefault="00F7459C" w:rsidP="00F7459C">
      <w:pPr>
        <w:pStyle w:val="NormalWeb"/>
      </w:pPr>
      <w:proofErr w:type="gramStart"/>
      <w:r>
        <w:t>Suđenje srpskom političaru s Kosova Oliveru Ivanoviću i drugim bivšim visokim pripadnicima srpskih paravojnih jedinica počelo je u avgustu.</w:t>
      </w:r>
      <w:proofErr w:type="gramEnd"/>
      <w:r>
        <w:t xml:space="preserve"> </w:t>
      </w:r>
      <w:proofErr w:type="gramStart"/>
      <w:r>
        <w:t>Ivanović je osumnjičen za ratne zločine zato što je naredio ubistvo četiri Albanca u Mitrovici 1999.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, tokom bombardovanja od strane NATO-a. </w:t>
      </w:r>
      <w:proofErr w:type="gramStart"/>
      <w:r>
        <w:t xml:space="preserve">Pored toga, on i tri saoptužena se terete da su podsticali druga lica da počine ubistva </w:t>
      </w:r>
      <w:r>
        <w:lastRenderedPageBreak/>
        <w:t>tokom nasilja u Mitrovici u februaru 2000.</w:t>
      </w:r>
      <w:proofErr w:type="gramEnd"/>
      <w:r>
        <w:t xml:space="preserve"> godine, kada je ubijeno 10 Albanaca, 25 ih ranjeno, a preko 11.000 isterano iz domova, nakon što su ih Srbi napali nekoliko meseci nakon što je rat završio.</w:t>
      </w:r>
    </w:p>
    <w:p w:rsidR="00F7459C" w:rsidRDefault="00F7459C" w:rsidP="00F7459C">
      <w:pPr>
        <w:pStyle w:val="NormalWeb"/>
      </w:pPr>
      <w:r>
        <w:t xml:space="preserve">EULEX je izvestio da su u periodu od januara do avgusta mešovita sudska veća izrekla dve presude za ratne zločine, jednu na Osnovnom </w:t>
      </w:r>
      <w:proofErr w:type="gramStart"/>
      <w:r>
        <w:t>sudu  i</w:t>
      </w:r>
      <w:proofErr w:type="gramEnd"/>
      <w:r>
        <w:t xml:space="preserve"> jednu na Apelacionom sudu. </w:t>
      </w:r>
      <w:proofErr w:type="gramStart"/>
      <w:r>
        <w:t>Veće sudija EULEX-a takođe je izreklo jednu presudu tokom 2014.</w:t>
      </w:r>
      <w:proofErr w:type="gramEnd"/>
      <w:r>
        <w:t xml:space="preserve"> </w:t>
      </w:r>
      <w:proofErr w:type="gramStart"/>
      <w:r>
        <w:t>godine</w:t>
      </w:r>
      <w:proofErr w:type="gramEnd"/>
      <w:r>
        <w:t>.  U vreme pisanja ovog izveštaja, bilo je još 160 nerešenih predmeta ratnih zločina, od kojih 128 kod tužilaca Specijalnog tužilaštva EULEX-a, a 32 kod tužilaca Specijalnog tužilaštva Kosova.</w:t>
      </w:r>
    </w:p>
    <w:p w:rsidR="00F7459C" w:rsidRDefault="00F7459C" w:rsidP="00F7459C">
      <w:pPr>
        <w:pStyle w:val="NormalWeb"/>
      </w:pPr>
      <w:r>
        <w:t>U novembru je visoka predstavnica Evropske unije za spoljnje poslove i bezbednosnu politiku Federika Mogerini (Federica Mogherini) imenovala nezavisnog eksperta da izvrši pregled interne istrage EULEX-</w:t>
      </w:r>
      <w:proofErr w:type="gramStart"/>
      <w:r>
        <w:t>a</w:t>
      </w:r>
      <w:proofErr w:type="gramEnd"/>
      <w:r>
        <w:t xml:space="preserve"> o navodnoj korupciji u okviru misije. Jedna tužiteljka EULEX-a tvrdila je da misija nije istražila njenu prijavu u vezi s </w:t>
      </w:r>
      <w:proofErr w:type="gramStart"/>
      <w:r>
        <w:t>tim</w:t>
      </w:r>
      <w:proofErr w:type="gramEnd"/>
      <w:r>
        <w:t xml:space="preserve"> i da se umesto toga okrenula protiv nje. Istog meseca, ombudsmen EU Emili O’Rajli (Emily O’Reilly) otvorila je istragu o tome kako je EU postupao u vezi</w:t>
      </w:r>
      <w:proofErr w:type="gramStart"/>
      <w:r>
        <w:t>  s</w:t>
      </w:r>
      <w:proofErr w:type="gramEnd"/>
      <w:r>
        <w:t xml:space="preserve"> navodima o korupciji.</w:t>
      </w:r>
    </w:p>
    <w:p w:rsidR="00F7459C" w:rsidRDefault="00F7459C" w:rsidP="00F7459C">
      <w:pPr>
        <w:pStyle w:val="NormalWeb"/>
      </w:pPr>
      <w:proofErr w:type="gramStart"/>
      <w:r>
        <w:t>Komisija za razmatranje ljudskih prava, nezavisno telo osnovano 2009.</w:t>
      </w:r>
      <w:proofErr w:type="gramEnd"/>
      <w:r>
        <w:t xml:space="preserve"> </w:t>
      </w:r>
      <w:proofErr w:type="gramStart"/>
      <w:r>
        <w:t>godine</w:t>
      </w:r>
      <w:proofErr w:type="gramEnd"/>
      <w:r>
        <w:t>, za razmatranje navoda o kršenjima ljudskih prava od strane osoblja EULEX-a, donelo je u periodu od januara do septembra tri odluke, uključujući i onu da je EULEX prekršio pravo podnosioca prijave na efikasno pravno sredstvo u predmetu gde je jedan policajac EULEX-a napao podnosioca prijave, koji nakon toga nekoliko meseci nije mogao da radi.</w:t>
      </w:r>
    </w:p>
    <w:p w:rsidR="00F7459C" w:rsidRDefault="00F7459C" w:rsidP="00F7459C">
      <w:pPr>
        <w:pStyle w:val="NormalWeb"/>
      </w:pPr>
      <w:proofErr w:type="gramStart"/>
      <w:r>
        <w:t>Savetodavna komisija za ljudska prava, nezavisno telo osnovano 2006.</w:t>
      </w:r>
      <w:proofErr w:type="gramEnd"/>
      <w:r>
        <w:t xml:space="preserve"> godine za razmatranje prijava o povredama ljudskih prava koje je počinila ili koje se mogu pripisati Privremenoj upravi Ujedinjenih nacija na Kosovu (UNMIK), utvrdilo je kršenja u 59 od ukupno 60 slučajeva kojima se bavila u periodu od januara do avgusta.</w:t>
      </w:r>
    </w:p>
    <w:p w:rsidR="00F7459C" w:rsidRDefault="00F7459C" w:rsidP="00F7459C">
      <w:pPr>
        <w:pStyle w:val="NormalWeb"/>
      </w:pPr>
      <w:r>
        <w:t xml:space="preserve">Skupština Kosova je u martu usvojila zakon kojim se preživelim žrtvama seksualnog nasilja i zlostavljanja povezanog </w:t>
      </w:r>
      <w:proofErr w:type="gramStart"/>
      <w:r>
        <w:t>sa</w:t>
      </w:r>
      <w:proofErr w:type="gramEnd"/>
      <w:r>
        <w:t xml:space="preserve"> sukobom priznaje status veterana.</w:t>
      </w:r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Postupanje prema manjinama</w:t>
      </w:r>
      <w:bookmarkStart w:id="9" w:name="413da4_0"/>
      <w:bookmarkEnd w:id="9"/>
    </w:p>
    <w:p w:rsidR="00F7459C" w:rsidRDefault="00F7459C" w:rsidP="00F7459C">
      <w:pPr>
        <w:pStyle w:val="NormalWeb"/>
      </w:pPr>
      <w:proofErr w:type="gramStart"/>
      <w:r>
        <w:t>Romska, aškalska i egipatska zajednica i dalje se suočavaju s problemima prilikom dobivanja ličnih dokumenata, što pripadnicima tih zajednica otežava pristup zdravstvenoj zaštiti, socijalnoj pomoći i obrazovanju.</w:t>
      </w:r>
      <w:proofErr w:type="gramEnd"/>
    </w:p>
    <w:p w:rsidR="00F7459C" w:rsidRDefault="00F7459C" w:rsidP="00F7459C">
      <w:pPr>
        <w:pStyle w:val="NormalWeb"/>
      </w:pPr>
      <w:proofErr w:type="gramStart"/>
      <w:r>
        <w:t>Kontinuirano nesprovođenje Strategije i Akcionog plana za integraciju romske, aškalske i egipatske zajednice iz 2010.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 proizlazi iz nepostojanja političke volje, sredstava i saradnje između centralnih i opštinskih vlasti, i između vlade i civilnog društva.</w:t>
      </w:r>
    </w:p>
    <w:p w:rsidR="00F7459C" w:rsidRDefault="00F7459C" w:rsidP="00F7459C">
      <w:pPr>
        <w:pStyle w:val="NormalWeb"/>
      </w:pPr>
      <w:r>
        <w:t xml:space="preserve">Nova strategija za reintegraciju repatriranih lica – uključujući Rome, Aškale i Egipćane – za period </w:t>
      </w:r>
      <w:proofErr w:type="gramStart"/>
      <w:r>
        <w:t>od</w:t>
      </w:r>
      <w:proofErr w:type="gramEnd"/>
      <w:r>
        <w:t xml:space="preserve"> 2014. </w:t>
      </w:r>
      <w:proofErr w:type="gramStart"/>
      <w:r>
        <w:t>do</w:t>
      </w:r>
      <w:proofErr w:type="gramEnd"/>
      <w:r>
        <w:t xml:space="preserve"> 2018. </w:t>
      </w:r>
      <w:proofErr w:type="gramStart"/>
      <w:r>
        <w:t>godine</w:t>
      </w:r>
      <w:proofErr w:type="gramEnd"/>
      <w:r>
        <w:t xml:space="preserve"> zamenila je staru strategiju iz 2010. </w:t>
      </w:r>
      <w:proofErr w:type="gramStart"/>
      <w:r>
        <w:t>godine</w:t>
      </w:r>
      <w:proofErr w:type="gramEnd"/>
      <w:r>
        <w:t xml:space="preserve">, čime se situacija za povratnike u 2014. </w:t>
      </w:r>
      <w:proofErr w:type="gramStart"/>
      <w:r>
        <w:t>godini</w:t>
      </w:r>
      <w:proofErr w:type="gramEnd"/>
      <w:r>
        <w:t xml:space="preserve"> donekle popravila.</w:t>
      </w:r>
    </w:p>
    <w:p w:rsidR="00F7459C" w:rsidRDefault="00F7459C" w:rsidP="00F7459C">
      <w:pPr>
        <w:pStyle w:val="NormalWeb"/>
      </w:pPr>
      <w:proofErr w:type="gramStart"/>
      <w:r>
        <w:lastRenderedPageBreak/>
        <w:t>Osnovane su su opštinske komisije za povratak koje pružaju pomoć povratnicima, uglavnom u hrane i smeštaju.</w:t>
      </w:r>
      <w:proofErr w:type="gramEnd"/>
      <w:r>
        <w:t xml:space="preserve"> </w:t>
      </w:r>
      <w:proofErr w:type="gramStart"/>
      <w:r>
        <w:t>Repatrirana lica još uvek se suočavaju s poteškoćama u zapošljavanju, obrazovanju i ostvarivanju zdravstvene zaštite, i zbog toga je tokom 2014.</w:t>
      </w:r>
      <w:proofErr w:type="gramEnd"/>
      <w:r>
        <w:t xml:space="preserve"> </w:t>
      </w:r>
      <w:proofErr w:type="gramStart"/>
      <w:r>
        <w:t>godine</w:t>
      </w:r>
      <w:proofErr w:type="gramEnd"/>
      <w:r>
        <w:t>, prema podacima lokalne nevladine organizacije Balkanski suncokret, s Kosova otišlo više od 1.200 Roma, Aškala i Egipćana.</w:t>
      </w:r>
    </w:p>
    <w:p w:rsidR="00F7459C" w:rsidRDefault="00F7459C" w:rsidP="00F7459C">
      <w:pPr>
        <w:pStyle w:val="NormalWeb"/>
      </w:pPr>
      <w:r>
        <w:t xml:space="preserve">U junu su buknule međuetničke tenzije </w:t>
      </w:r>
      <w:proofErr w:type="gramStart"/>
      <w:r>
        <w:t>na</w:t>
      </w:r>
      <w:proofErr w:type="gramEnd"/>
      <w:r>
        <w:t xml:space="preserve"> severu, kada je tokom protesta koji su organizovali Albanci iz južne Mitrovice došlo do nasilja. </w:t>
      </w:r>
      <w:proofErr w:type="gramStart"/>
      <w:r>
        <w:t>Demonstranti su se sukobili s kosovskom policijom, prilikom čega je povređeno više lica i zapaljeno više automobila.</w:t>
      </w:r>
      <w:proofErr w:type="gramEnd"/>
      <w:r>
        <w:t xml:space="preserve"> </w:t>
      </w:r>
      <w:proofErr w:type="gramStart"/>
      <w:r>
        <w:t>U januaru je srpski opštinski većnik za severnu Mitrovicu Dimitrije Janićijević ubijen iz vatrenog oružja ispred svoje kuće.</w:t>
      </w:r>
      <w:proofErr w:type="gramEnd"/>
      <w:r>
        <w:t xml:space="preserve"> </w:t>
      </w:r>
      <w:proofErr w:type="gramStart"/>
      <w:r>
        <w:t>Policija je u vreme pisanja ovog izveštaja vršila istragu u vezi s njegovim ubistvom.</w:t>
      </w:r>
      <w:proofErr w:type="gramEnd"/>
    </w:p>
    <w:p w:rsidR="00F7459C" w:rsidRDefault="00F7459C" w:rsidP="00F7459C">
      <w:pPr>
        <w:pStyle w:val="NormalWeb"/>
      </w:pPr>
      <w:r>
        <w:t xml:space="preserve">Policija Kosova izvestila je o tri međuetnička incienta u periodu </w:t>
      </w:r>
      <w:proofErr w:type="gramStart"/>
      <w:r>
        <w:t>od</w:t>
      </w:r>
      <w:proofErr w:type="gramEnd"/>
      <w:r>
        <w:t xml:space="preserve"> januara do avgusta, ali nje navela o kakvim se incidentima konkretno radi.</w:t>
      </w:r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Tražioci azila i raseljena lica</w:t>
      </w:r>
      <w:bookmarkStart w:id="10" w:name="9c07df_0"/>
      <w:bookmarkEnd w:id="10"/>
    </w:p>
    <w:p w:rsidR="00F7459C" w:rsidRDefault="00F7459C" w:rsidP="00F7459C">
      <w:pPr>
        <w:pStyle w:val="NormalWeb"/>
      </w:pPr>
      <w:r>
        <w:t>Tokom prvih 10 meseci, Visoki komesarijat Ujedninjenih nacija za izbeglice (UNHCR) evientirao je 440 dobrovoljnih povrataka, uključujući ljude van Kosova i interno raseljena lica, u poređenju sa 465 u istom periodu 2013 godine.</w:t>
      </w:r>
    </w:p>
    <w:p w:rsidR="00F7459C" w:rsidRDefault="00F7459C" w:rsidP="00F7459C">
      <w:pPr>
        <w:pStyle w:val="NormalWeb"/>
      </w:pPr>
      <w:r>
        <w:t xml:space="preserve">Deportacije iz zapadne Evrope </w:t>
      </w:r>
      <w:proofErr w:type="gramStart"/>
      <w:r>
        <w:t>na</w:t>
      </w:r>
      <w:proofErr w:type="gramEnd"/>
      <w:r>
        <w:t xml:space="preserve"> Kosovo i dalje traju, a pomoć prilikom povratka je poboljšana ali ograničena. Ministarstvo unutrašnjih poslova evidentiralo je 2.109 prisilnih povrataka </w:t>
      </w:r>
      <w:proofErr w:type="gramStart"/>
      <w:r>
        <w:t>na</w:t>
      </w:r>
      <w:proofErr w:type="gramEnd"/>
      <w:r>
        <w:t xml:space="preserve"> Kosovo u periodu od januara do avgusta, uključujući 261 Roma, 95 Aškala i 19 Egipćana. </w:t>
      </w:r>
      <w:proofErr w:type="gramStart"/>
      <w:r>
        <w:t>Većina ih je vraćena iz Nemačke (341) i Švajcarske (258).</w:t>
      </w:r>
      <w:proofErr w:type="gramEnd"/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Sloboda medija</w:t>
      </w:r>
      <w:bookmarkStart w:id="11" w:name="f3868c_0"/>
      <w:bookmarkEnd w:id="11"/>
    </w:p>
    <w:p w:rsidR="00F7459C" w:rsidRDefault="00F7459C" w:rsidP="00F7459C">
      <w:pPr>
        <w:pStyle w:val="NormalWeb"/>
      </w:pPr>
      <w:proofErr w:type="gramStart"/>
      <w:r>
        <w:t>Novinari su i tokom 2014.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 bili izloženi napadima i pretnjama, i to posebno oni koji izveštavaju o radikalnim muslimanskim grupama. U septembru je  Visar Durići, novinar lista GazetaExpress koji je izveštavao o političkom islamu, dobio pretnje smrću, uključujući odsecanjem glave, kada ga je jedna radikalna islamistička grupa optužila za otpadništvo. Artan Haraćija, novinar portala vijesti Indeksonline, koji je radio </w:t>
      </w:r>
      <w:proofErr w:type="gramStart"/>
      <w:r>
        <w:t>na</w:t>
      </w:r>
      <w:proofErr w:type="gramEnd"/>
      <w:r>
        <w:t xml:space="preserve"> zajedničkom izveštaju s Durićijem o radikalnim muslimanskim grupama koje su aktivne na Kosovu, dobio je pretnje smrću nakon što se u septembru pojavio u emisiji KTV-a “Rubikon”. </w:t>
      </w:r>
      <w:proofErr w:type="gramStart"/>
      <w:r>
        <w:t>Policija je u vreme pisanja ovog izveštaja vršila istragu o oba ta incidenta.</w:t>
      </w:r>
      <w:proofErr w:type="gramEnd"/>
    </w:p>
    <w:p w:rsidR="00F7459C" w:rsidRDefault="00F7459C" w:rsidP="00F7459C">
      <w:pPr>
        <w:pStyle w:val="NormalWeb"/>
      </w:pPr>
      <w:proofErr w:type="gramStart"/>
      <w:r>
        <w:t>U septembru je ombudsmen osudio pretnje novinarima i pozvao medije, tužioce i policiju da postupaju u punom obimu svog mandata i da ne koriste metode kojima se krše privatnost i dostojanstvo ljudi.</w:t>
      </w:r>
      <w:proofErr w:type="gramEnd"/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lastRenderedPageBreak/>
        <w:t>Seksualna orijentacija i rodni identitet</w:t>
      </w:r>
      <w:bookmarkStart w:id="12" w:name="8e6bb2_0"/>
      <w:bookmarkEnd w:id="12"/>
    </w:p>
    <w:p w:rsidR="00F7459C" w:rsidRDefault="00F7459C" w:rsidP="00F7459C">
      <w:pPr>
        <w:pStyle w:val="NormalWeb"/>
      </w:pPr>
      <w:r>
        <w:t xml:space="preserve">Kako navode iz QESh-a, jedine javne LGBT organizacije </w:t>
      </w:r>
      <w:proofErr w:type="gramStart"/>
      <w:r>
        <w:t>na</w:t>
      </w:r>
      <w:proofErr w:type="gramEnd"/>
      <w:r>
        <w:t xml:space="preserve"> Kosovu, LGBT zajednica bila je tokom godine izložena fizičkim napadima i pretnjama, posebno preko društvenih mreža i internetskih medija i na radiju. </w:t>
      </w:r>
      <w:proofErr w:type="gramStart"/>
      <w:r>
        <w:t>Kako kažu iz QESh-a, tri čoveka su u avgustu napala jednog homoseksualca u Prizrenu.</w:t>
      </w:r>
      <w:proofErr w:type="gramEnd"/>
      <w:r>
        <w:t xml:space="preserve"> U junu su</w:t>
      </w:r>
      <w:proofErr w:type="gramStart"/>
      <w:r>
        <w:t>  u</w:t>
      </w:r>
      <w:proofErr w:type="gramEnd"/>
      <w:r>
        <w:t xml:space="preserve"> Prištini jednog sedamnaestogošinjeg transseksualca verbalno maltretirala tri mladića njegovih godina i pretili su mu, a u aprilu je jedan osamnaestogodišnji homoseksualac verbalno maltretiran od strane svog nastavnika.</w:t>
      </w:r>
    </w:p>
    <w:p w:rsidR="00F7459C" w:rsidRDefault="00F7459C" w:rsidP="00F7459C">
      <w:pPr>
        <w:pStyle w:val="Heading2"/>
        <w:spacing w:line="240" w:lineRule="atLeast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Ključni međunarodni akteri</w:t>
      </w:r>
      <w:bookmarkStart w:id="13" w:name="d978f2_0"/>
      <w:bookmarkEnd w:id="13"/>
    </w:p>
    <w:p w:rsidR="00F7459C" w:rsidRDefault="00F7459C" w:rsidP="00F7459C">
      <w:pPr>
        <w:pStyle w:val="NormalWeb"/>
      </w:pPr>
      <w:r>
        <w:t>U januaru je Organizacija za bezbednost i saradnju u Evropi (OEBS) pozvala kosovske vlasti da ustanove koliko se tačno prisilno vraćenih azilanata još uvek nalazi na Kosovu, a posebno da identifikuju članove zajednica za koje UNHCR smatra da su „ugrožene</w:t>
      </w:r>
      <w:proofErr w:type="gramStart"/>
      <w:r>
        <w:t>“ i</w:t>
      </w:r>
      <w:proofErr w:type="gramEnd"/>
      <w:r>
        <w:t xml:space="preserve"> da im je potrebna međunarodna zaštita, uključujući  srpsku, romsku, aškalsku i egipatsku zajednicu.</w:t>
      </w:r>
    </w:p>
    <w:p w:rsidR="00F7459C" w:rsidRDefault="00F7459C" w:rsidP="00F7459C">
      <w:pPr>
        <w:pStyle w:val="NormalWeb"/>
      </w:pPr>
      <w:r>
        <w:t xml:space="preserve">Visoka predstavnica EU Ketrin Ešton (Catherine Ashton) je u aprilu pozdravila produženje mandata EULEX-a i osnivanje specijalnog suda koji </w:t>
      </w:r>
      <w:proofErr w:type="gramStart"/>
      <w:r>
        <w:t>će</w:t>
      </w:r>
      <w:proofErr w:type="gramEnd"/>
      <w:r>
        <w:t xml:space="preserve"> voditi postupke u vezi sa zlostavljanjima tokom i nakon rata na Kosovu 1998.i 1999. </w:t>
      </w:r>
      <w:proofErr w:type="gramStart"/>
      <w:r>
        <w:t>godine</w:t>
      </w:r>
      <w:proofErr w:type="gramEnd"/>
      <w:r>
        <w:t>.  </w:t>
      </w:r>
    </w:p>
    <w:p w:rsidR="00F7459C" w:rsidRDefault="00F7459C" w:rsidP="00F7459C">
      <w:pPr>
        <w:pStyle w:val="NormalWeb"/>
      </w:pPr>
      <w:proofErr w:type="gramStart"/>
      <w:r>
        <w:t>U izveštaju EU o napretku Kosova naglašeni su nedostaci u vezi s vladavinom prava, uključujući nezavisnost pravosuđa, istaknuto je da je zastrašivanje svedoka i dalje izuzetno zabrinjavajuće, i zapaženi su ograničeni rezultati u borbi protiv korupcije i organizovanog kriminala.</w:t>
      </w:r>
      <w:proofErr w:type="gramEnd"/>
      <w:r>
        <w:t xml:space="preserve"> U izveštaju se poziva na jačanje institucije ombudsmena, donošenje antidiskriminacionih zakona, i na to da se u političkom životu da prioritet pitanjima </w:t>
      </w:r>
      <w:proofErr w:type="gramStart"/>
      <w:r>
        <w:t>vezanim  za</w:t>
      </w:r>
      <w:proofErr w:type="gramEnd"/>
      <w:r>
        <w:t xml:space="preserve"> ljudska prava, poput realizacije akcionog plana za integraciju romske, aškalske i egipatse zajednice.</w:t>
      </w:r>
    </w:p>
    <w:p w:rsidR="00F7459C" w:rsidRDefault="00F7459C" w:rsidP="00F7459C">
      <w:pPr>
        <w:pStyle w:val="NormalWeb"/>
      </w:pPr>
      <w:proofErr w:type="gramStart"/>
      <w:r>
        <w:t>Generalni sekretar UN-a Ban Ki-Mun je u izveštaju iz maja naveo da jačanje institucija vladavine prava ostaje dugoročni izazov i pozvao vlasti da pojačaju svoj rad u toj oblasti.</w:t>
      </w:r>
      <w:proofErr w:type="gramEnd"/>
    </w:p>
    <w:p w:rsidR="00F7459C" w:rsidRDefault="00F7459C" w:rsidP="00F7459C">
      <w:pPr>
        <w:pStyle w:val="NormalWeb"/>
      </w:pPr>
      <w:r>
        <w:t xml:space="preserve">U septembru je predstavnica OEBS-a za slobodu medija Dunja Mijatović osudila pretnje smrću i napade </w:t>
      </w:r>
      <w:proofErr w:type="gramStart"/>
      <w:r>
        <w:t>na</w:t>
      </w:r>
      <w:proofErr w:type="gramEnd"/>
      <w:r>
        <w:t xml:space="preserve"> novinare na Kosovu i pozvala vlasti da počinioce izvedu pred lice pravde.</w:t>
      </w:r>
    </w:p>
    <w:p w:rsidR="00F7459C" w:rsidRDefault="00F7459C" w:rsidP="00F7459C">
      <w:pPr>
        <w:pStyle w:val="NormalWeb"/>
      </w:pPr>
      <w:r>
        <w:t>Venecijanska komisija Saveta Evrope je u martu objavila mišljenje o amandmanima na Zakon o slobodi verosipovesti na Kosovu, u kom navodi potrebu za nizom poboljšanja, između ostalog za proširenjem liste verskih zajednica koje „predstavljaju istorijsko, kulturno i društveno nasleđe zemlje</w:t>
      </w:r>
      <w:proofErr w:type="gramStart"/>
      <w:r>
        <w:t>“ tako</w:t>
      </w:r>
      <w:proofErr w:type="gramEnd"/>
      <w:r>
        <w:t xml:space="preserve"> da na tu listu, osim pet grupa, budu uključene i sve druge etablirane verske grupe.</w:t>
      </w:r>
    </w:p>
    <w:p w:rsidR="00F7459C" w:rsidRDefault="00F7459C">
      <w:pPr>
        <w:rPr>
          <w:b/>
        </w:rPr>
      </w:pPr>
    </w:p>
    <w:p w:rsidR="003B539B" w:rsidRPr="0051678F" w:rsidRDefault="003B539B" w:rsidP="003B539B">
      <w:pPr>
        <w:pStyle w:val="Heading1"/>
        <w:spacing w:before="0" w:beforeAutospacing="0" w:after="0" w:afterAutospacing="0" w:line="594" w:lineRule="atLeast"/>
        <w:textAlignment w:val="baseline"/>
        <w:rPr>
          <w:color w:val="333333"/>
          <w:spacing w:val="-30"/>
          <w:sz w:val="36"/>
          <w:szCs w:val="36"/>
        </w:rPr>
      </w:pPr>
      <w:r w:rsidRPr="0051678F">
        <w:rPr>
          <w:color w:val="333333"/>
          <w:spacing w:val="-30"/>
          <w:sz w:val="36"/>
          <w:szCs w:val="36"/>
        </w:rPr>
        <w:t>O UNDP-u u Bosni i Hercegovini</w:t>
      </w:r>
    </w:p>
    <w:p w:rsidR="003B539B" w:rsidRPr="0051678F" w:rsidRDefault="003B539B">
      <w:pPr>
        <w:rPr>
          <w:rFonts w:ascii="Times New Roman" w:hAnsi="Times New Roman" w:cs="Times New Roman"/>
          <w:b/>
          <w:sz w:val="24"/>
          <w:szCs w:val="24"/>
        </w:rPr>
      </w:pPr>
    </w:p>
    <w:p w:rsidR="003B539B" w:rsidRPr="0051678F" w:rsidRDefault="003B539B" w:rsidP="003B539B">
      <w:pPr>
        <w:pStyle w:val="NormalWeb"/>
        <w:spacing w:before="0" w:beforeAutospacing="0" w:after="240" w:afterAutospacing="0" w:line="293" w:lineRule="atLeast"/>
        <w:textAlignment w:val="baseline"/>
        <w:rPr>
          <w:color w:val="333333"/>
        </w:rPr>
      </w:pPr>
      <w:r w:rsidRPr="0051678F">
        <w:rPr>
          <w:color w:val="333333"/>
        </w:rPr>
        <w:lastRenderedPageBreak/>
        <w:t xml:space="preserve">Razvojni program Ujedinjenih nacija (UNDP), uz podršku globalne UNDP mreže, </w:t>
      </w:r>
      <w:proofErr w:type="gramStart"/>
      <w:r w:rsidRPr="0051678F">
        <w:rPr>
          <w:color w:val="333333"/>
        </w:rPr>
        <w:t>od</w:t>
      </w:r>
      <w:proofErr w:type="gramEnd"/>
      <w:r w:rsidRPr="0051678F">
        <w:rPr>
          <w:color w:val="333333"/>
        </w:rPr>
        <w:t xml:space="preserve"> 1996. </w:t>
      </w:r>
      <w:proofErr w:type="gramStart"/>
      <w:r w:rsidRPr="0051678F">
        <w:rPr>
          <w:color w:val="333333"/>
        </w:rPr>
        <w:t>godine</w:t>
      </w:r>
      <w:proofErr w:type="gramEnd"/>
      <w:r w:rsidRPr="0051678F">
        <w:rPr>
          <w:color w:val="333333"/>
        </w:rPr>
        <w:t xml:space="preserve"> pomaže Bosni i Hercegovini da privuče i iskoristi međunarodnu pomoć. Naši glavni ciljevi su obnova zemlje nakon konflikta, podrška i izgradnja državnih kapaciteta u ključnim sektorima, napredak humanog razvoja i pomaganje u prebacivanju fokusa razvojnog planiranja </w:t>
      </w:r>
      <w:proofErr w:type="gramStart"/>
      <w:r w:rsidRPr="0051678F">
        <w:rPr>
          <w:color w:val="333333"/>
        </w:rPr>
        <w:t>sa</w:t>
      </w:r>
      <w:proofErr w:type="gramEnd"/>
      <w:r w:rsidRPr="0051678F">
        <w:rPr>
          <w:color w:val="333333"/>
        </w:rPr>
        <w:t xml:space="preserve"> poslijeratnog oporavka na dugoročni strateški razvoj.</w:t>
      </w:r>
      <w:r w:rsidRPr="0051678F">
        <w:rPr>
          <w:color w:val="333333"/>
        </w:rPr>
        <w:br/>
      </w:r>
      <w:r w:rsidRPr="0051678F">
        <w:rPr>
          <w:color w:val="333333"/>
        </w:rPr>
        <w:br/>
        <w:t xml:space="preserve">Rad Tima Ujedinjenih nacija u Bosni i Hercegovini (UNCT) – samim </w:t>
      </w:r>
      <w:proofErr w:type="gramStart"/>
      <w:r w:rsidRPr="0051678F">
        <w:rPr>
          <w:color w:val="333333"/>
        </w:rPr>
        <w:t>tim</w:t>
      </w:r>
      <w:proofErr w:type="gramEnd"/>
      <w:r w:rsidRPr="0051678F">
        <w:rPr>
          <w:color w:val="333333"/>
        </w:rPr>
        <w:t xml:space="preserve">, i rad UNDP-a – vođen je srednjoročnim strateškim Okvirom razvojne pomoći Ujedinjenih nacija (UNDAF). </w:t>
      </w:r>
      <w:proofErr w:type="gramStart"/>
      <w:r w:rsidRPr="0051678F">
        <w:rPr>
          <w:color w:val="333333"/>
        </w:rPr>
        <w:t>Trenutni UNDAF za BiH pokriva period 2010.-2014.</w:t>
      </w:r>
      <w:proofErr w:type="gramEnd"/>
      <w:r w:rsidRPr="0051678F">
        <w:rPr>
          <w:color w:val="333333"/>
        </w:rPr>
        <w:t xml:space="preserve"> </w:t>
      </w:r>
      <w:proofErr w:type="gramStart"/>
      <w:r w:rsidRPr="0051678F">
        <w:rPr>
          <w:color w:val="333333"/>
        </w:rPr>
        <w:t>godine</w:t>
      </w:r>
      <w:proofErr w:type="gramEnd"/>
      <w:r w:rsidRPr="0051678F">
        <w:rPr>
          <w:color w:val="333333"/>
        </w:rPr>
        <w:t xml:space="preserve"> i potpisan je sa Vijećem ministara BiH u martu 2009. </w:t>
      </w:r>
      <w:proofErr w:type="gramStart"/>
      <w:r w:rsidRPr="0051678F">
        <w:rPr>
          <w:color w:val="333333"/>
        </w:rPr>
        <w:t>godine</w:t>
      </w:r>
      <w:proofErr w:type="gramEnd"/>
      <w:r w:rsidRPr="0051678F">
        <w:rPr>
          <w:color w:val="333333"/>
        </w:rPr>
        <w:t xml:space="preserve">. Unutar tog okvira je, kao sveobuhvatni prioritet, prepoznata težnja BiH da postane članica Evropske unije i fokusiran je </w:t>
      </w:r>
      <w:proofErr w:type="gramStart"/>
      <w:r w:rsidRPr="0051678F">
        <w:rPr>
          <w:color w:val="333333"/>
        </w:rPr>
        <w:t>na</w:t>
      </w:r>
      <w:proofErr w:type="gramEnd"/>
      <w:r w:rsidRPr="0051678F">
        <w:rPr>
          <w:color w:val="333333"/>
        </w:rPr>
        <w:t xml:space="preserve"> četiri prioritetna područja pomoći: ruralni i regionalni razvoj, socijalno uključivanje i demokratska uprava, pravda i sigurnost, i energija i okoliš.</w:t>
      </w:r>
      <w:r w:rsidRPr="0051678F">
        <w:rPr>
          <w:color w:val="333333"/>
        </w:rPr>
        <w:br/>
      </w:r>
      <w:r w:rsidRPr="0051678F">
        <w:rPr>
          <w:color w:val="333333"/>
        </w:rPr>
        <w:br/>
        <w:t xml:space="preserve">Fokus naredne generacije zajedničkih UN programa (koji pokrivaju period 2015.-2019.) je </w:t>
      </w:r>
      <w:proofErr w:type="gramStart"/>
      <w:r w:rsidRPr="0051678F">
        <w:rPr>
          <w:color w:val="333333"/>
        </w:rPr>
        <w:t>na</w:t>
      </w:r>
      <w:proofErr w:type="gramEnd"/>
      <w:r w:rsidRPr="0051678F">
        <w:rPr>
          <w:color w:val="333333"/>
        </w:rPr>
        <w:t xml:space="preserve"> adresiranju prioritetnih razvojnih izazova BiH na poljima pomirenja i međukulturalnog dijaloga, pravde i sigurnosti, održivih životnih uslova, socijalne uključenosti i okoliša.</w:t>
      </w:r>
    </w:p>
    <w:p w:rsidR="003B539B" w:rsidRPr="0051678F" w:rsidRDefault="003B539B" w:rsidP="003B539B">
      <w:pPr>
        <w:pStyle w:val="Heading3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Šta želimo postići?</w:t>
      </w:r>
      <w:proofErr w:type="gramEnd"/>
    </w:p>
    <w:p w:rsidR="003B539B" w:rsidRPr="0051678F" w:rsidRDefault="003B539B" w:rsidP="003B539B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r w:rsidRPr="0051678F">
        <w:rPr>
          <w:color w:val="333333"/>
        </w:rPr>
        <w:t xml:space="preserve">U uskoj suradnji </w:t>
      </w:r>
      <w:proofErr w:type="gramStart"/>
      <w:r w:rsidRPr="0051678F">
        <w:rPr>
          <w:color w:val="333333"/>
        </w:rPr>
        <w:t>sa</w:t>
      </w:r>
      <w:proofErr w:type="gramEnd"/>
      <w:r w:rsidRPr="0051678F">
        <w:rPr>
          <w:color w:val="333333"/>
        </w:rPr>
        <w:t xml:space="preserve"> ostalim UN agencijama, UNDP svoje programe usmjerava prema četiri prioritetne oblasti UNDAF-a, sa ciljem poboljšanja života ljudi u BiH, jačanja napora na ostvarivanju mirnog demokratskog društva i pomaganja BiH da postigne dugoročni održivi razvoj. Konsultacije </w:t>
      </w:r>
      <w:proofErr w:type="gramStart"/>
      <w:r w:rsidRPr="0051678F">
        <w:rPr>
          <w:color w:val="333333"/>
        </w:rPr>
        <w:t>sa</w:t>
      </w:r>
      <w:proofErr w:type="gramEnd"/>
      <w:r w:rsidRPr="0051678F">
        <w:rPr>
          <w:color w:val="333333"/>
        </w:rPr>
        <w:t xml:space="preserve"> ključnim visokim zvaničnicima vlasti i unutar donatorske zajednice ukazuju na to da će očekivani rezultati programa dati strateški doprinos u pomaganju BiH da ostvari Milenijumske razvojne ciljeve (</w:t>
      </w:r>
      <w:hyperlink r:id="rId5" w:tgtFrame="_blank" w:history="1">
        <w:r w:rsidRPr="0051678F">
          <w:rPr>
            <w:rStyle w:val="Hyperlink"/>
            <w:color w:val="0055AA"/>
          </w:rPr>
          <w:t>MRC</w:t>
        </w:r>
      </w:hyperlink>
      <w:r w:rsidRPr="0051678F">
        <w:rPr>
          <w:color w:val="333333"/>
        </w:rPr>
        <w:t>).</w:t>
      </w:r>
    </w:p>
    <w:p w:rsidR="003B539B" w:rsidRPr="0051678F" w:rsidRDefault="003B539B" w:rsidP="003B539B">
      <w:pPr>
        <w:pStyle w:val="NormalWeb"/>
        <w:spacing w:before="0" w:beforeAutospacing="0" w:after="240" w:afterAutospacing="0" w:line="293" w:lineRule="atLeast"/>
        <w:textAlignment w:val="baseline"/>
        <w:rPr>
          <w:color w:val="333333"/>
        </w:rPr>
      </w:pPr>
      <w:proofErr w:type="gramStart"/>
      <w:r w:rsidRPr="0051678F">
        <w:rPr>
          <w:color w:val="333333"/>
        </w:rPr>
        <w:t>Strateški prioritet BiH je pristupanje EU.</w:t>
      </w:r>
      <w:proofErr w:type="gramEnd"/>
      <w:r w:rsidRPr="0051678F">
        <w:rPr>
          <w:color w:val="333333"/>
        </w:rPr>
        <w:t xml:space="preserve"> Stoga je, u svrhu pružanja podrške zemlji </w:t>
      </w:r>
      <w:proofErr w:type="gramStart"/>
      <w:r w:rsidRPr="0051678F">
        <w:rPr>
          <w:color w:val="333333"/>
        </w:rPr>
        <w:t>na</w:t>
      </w:r>
      <w:proofErr w:type="gramEnd"/>
      <w:r w:rsidRPr="0051678F">
        <w:rPr>
          <w:color w:val="333333"/>
        </w:rPr>
        <w:t xml:space="preserve"> njenom evropskom putu, naš program za period 2010-2014 usmjeren na sljedeće planirane sektorske teme:</w:t>
      </w:r>
    </w:p>
    <w:p w:rsidR="003B539B" w:rsidRPr="0051678F" w:rsidRDefault="003B539B" w:rsidP="003B539B">
      <w:pPr>
        <w:numPr>
          <w:ilvl w:val="0"/>
          <w:numId w:val="1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Jačanje demokratske uprave, uključujući izgradnju i razvoj kapaciteta vlasti.</w:t>
      </w:r>
    </w:p>
    <w:p w:rsidR="003B539B" w:rsidRPr="0051678F" w:rsidRDefault="003B539B" w:rsidP="003B539B">
      <w:pPr>
        <w:numPr>
          <w:ilvl w:val="0"/>
          <w:numId w:val="1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Smanjenje socijalnog isključivanja i usklađivanje socijalnih politika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sa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evropskim standardima i ratificiranim UN-ovim i drugim međunarodnim konvencijama.</w:t>
      </w:r>
    </w:p>
    <w:p w:rsidR="003B539B" w:rsidRPr="0051678F" w:rsidRDefault="003B539B" w:rsidP="003B539B">
      <w:pPr>
        <w:numPr>
          <w:ilvl w:val="0"/>
          <w:numId w:val="1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Promocija ruralnog i regionalnog razvoja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sa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naglaskom na socioekonomski oporavak i smanjenje siromaštva.</w:t>
      </w:r>
    </w:p>
    <w:p w:rsidR="003B539B" w:rsidRPr="0051678F" w:rsidRDefault="003B539B" w:rsidP="003B539B">
      <w:pPr>
        <w:numPr>
          <w:ilvl w:val="0"/>
          <w:numId w:val="1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Unapređenje sigurnosti kroz razoružavanje i reforme sektora sigurnosti,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te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promocija reforme pravosuđa sa naglaskom na procesuiranje ratnih zločina, tranzicijsku pravdu, pristup pravdi i aktivnosti podrške žrtvama i svjedocima.</w:t>
      </w:r>
    </w:p>
    <w:p w:rsidR="003B539B" w:rsidRPr="0051678F" w:rsidRDefault="003B539B" w:rsidP="003B539B">
      <w:pPr>
        <w:numPr>
          <w:ilvl w:val="0"/>
          <w:numId w:val="1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Razvoj i implementacija inicijativa za očuvanje biološke raznolikosti i voda,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te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za energetsku efikasnost.</w:t>
      </w:r>
    </w:p>
    <w:p w:rsidR="003B539B" w:rsidRPr="0051678F" w:rsidRDefault="003B539B" w:rsidP="003B539B">
      <w:pPr>
        <w:pStyle w:val="Heading3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Koji su naši rezultati?</w:t>
      </w:r>
      <w:proofErr w:type="gramEnd"/>
    </w:p>
    <w:p w:rsidR="003B539B" w:rsidRPr="0051678F" w:rsidRDefault="003B539B" w:rsidP="003B539B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proofErr w:type="gramStart"/>
      <w:r w:rsidRPr="0051678F">
        <w:rPr>
          <w:b/>
          <w:bCs/>
          <w:color w:val="333333"/>
          <w:bdr w:val="none" w:sz="0" w:space="0" w:color="auto" w:frame="1"/>
        </w:rPr>
        <w:t>Ključni rezultati UNDP-a do 2012.</w:t>
      </w:r>
      <w:proofErr w:type="gramEnd"/>
      <w:r w:rsidRPr="0051678F">
        <w:rPr>
          <w:b/>
          <w:bCs/>
          <w:color w:val="333333"/>
          <w:bdr w:val="none" w:sz="0" w:space="0" w:color="auto" w:frame="1"/>
        </w:rPr>
        <w:t xml:space="preserve"> </w:t>
      </w:r>
      <w:proofErr w:type="gramStart"/>
      <w:r w:rsidRPr="0051678F">
        <w:rPr>
          <w:b/>
          <w:bCs/>
          <w:color w:val="333333"/>
          <w:bdr w:val="none" w:sz="0" w:space="0" w:color="auto" w:frame="1"/>
        </w:rPr>
        <w:t>godine</w:t>
      </w:r>
      <w:proofErr w:type="gramEnd"/>
    </w:p>
    <w:p w:rsidR="003B539B" w:rsidRPr="0051678F" w:rsidRDefault="003B539B" w:rsidP="003B539B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r w:rsidRPr="0051678F">
        <w:rPr>
          <w:b/>
          <w:bCs/>
          <w:color w:val="333333"/>
          <w:bdr w:val="none" w:sz="0" w:space="0" w:color="auto" w:frame="1"/>
        </w:rPr>
        <w:t>Pravda i sigurnost</w:t>
      </w:r>
    </w:p>
    <w:p w:rsidR="003B539B" w:rsidRPr="0051678F" w:rsidRDefault="003B539B" w:rsidP="003B539B">
      <w:pPr>
        <w:numPr>
          <w:ilvl w:val="0"/>
          <w:numId w:val="2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Uništeno je preko 9.100 tona municije, uključujući visokorizičnu i kasetnu municiju, i uklonjeno je preko 33.000 komada malog oružja i lakog naoružanja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2005. godine;</w:t>
      </w:r>
    </w:p>
    <w:p w:rsidR="003B539B" w:rsidRPr="0051678F" w:rsidRDefault="003B539B" w:rsidP="003B539B">
      <w:pPr>
        <w:numPr>
          <w:ilvl w:val="0"/>
          <w:numId w:val="2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lastRenderedPageBreak/>
        <w:t>Uspostavljeni su centralni registar za kontrolu kretanja oružja i centralna baza podataka za analizu rizika;</w:t>
      </w:r>
    </w:p>
    <w:p w:rsidR="003B539B" w:rsidRPr="0051678F" w:rsidRDefault="003B539B" w:rsidP="003B539B">
      <w:pPr>
        <w:numPr>
          <w:ilvl w:val="0"/>
          <w:numId w:val="2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Uspostavljeno je pet foruma za sigurnost zajednice, kao i Strategija rada policije u zajednici u Republici Srpskoj; tri kantonalna zakona o besplatnoj pravnoj pomoći su izrađena i usvojena od strane relevantnih kantonalnih vlasti, a izrađeni su i nacrt državnog zakona o besplatnoj pravnoj pomoći i Državna strategija za tranzicijsku pravdu, koja se bavi pitanjima reparacija, memorijala i kazivanja istine;</w:t>
      </w:r>
    </w:p>
    <w:p w:rsidR="003B539B" w:rsidRPr="0051678F" w:rsidRDefault="003B539B" w:rsidP="003B539B">
      <w:pPr>
        <w:numPr>
          <w:ilvl w:val="0"/>
          <w:numId w:val="2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Sedam od 10 kantona, zajedno sa centralnim uredom u Banjoj Luci i njegova četiri ogranka, sada su potpuno operativni u pružanju usluga besplatne pravne pomoći najranjivijoj populaciji;</w:t>
      </w:r>
    </w:p>
    <w:p w:rsidR="003B539B" w:rsidRPr="0051678F" w:rsidRDefault="003B539B" w:rsidP="003B539B">
      <w:pPr>
        <w:numPr>
          <w:ilvl w:val="0"/>
          <w:numId w:val="2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Uredi za podršku svjedocima uspostavljeni su u Banjoj Luci, Sarajevu i Istočnom Sarajevu, i do sada je oko 500 svjedoka primilo pomoć. Uredi za podršku svjedocima u Bihaću, Travniku i Novom Travniku biće otvoreni krajem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augusta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2013.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godine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>, a otvaranje dva nova ureda u Mostaru i Brčko disktriktu planirano je za sredinu 2014. godine;</w:t>
      </w:r>
    </w:p>
    <w:p w:rsidR="003B539B" w:rsidRPr="0051678F" w:rsidRDefault="003B539B" w:rsidP="003B539B">
      <w:pPr>
        <w:numPr>
          <w:ilvl w:val="0"/>
          <w:numId w:val="2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Policija, suci i tužioci uključeni u procesuiranje slučajeva rodno zasnovanog i seksualnog nasilja prošli su obuku o uslugama koje pružaju Uredi za podršku svjedocima. Puno razumijevanje ovih usluga pomoći će im u pružanju najboljih savjeta i podrške žrtvama i svjedocima tokom cijelog suđenja i poslije suđenja;</w:t>
      </w:r>
    </w:p>
    <w:p w:rsidR="003B539B" w:rsidRPr="0051678F" w:rsidRDefault="003B539B" w:rsidP="003B539B">
      <w:pPr>
        <w:numPr>
          <w:ilvl w:val="0"/>
          <w:numId w:val="2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Zakon o zaštiti i spašavanju ljudi i materijalnih dobara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prirodnih ili drugih nesreća i Procjena ugroženosti Bosne i Hercegovine usvojeni su 2008.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godine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, te ponovo 2012.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godine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. Obezbjeđena je podrška za 12 općina u svrhu razvoja lokalnih strategija oporavka nakon poplava 2010.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godine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. Hitna pomoć također je obezbjeđena za brojne zajednice širom BiH pogođene nesrećama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2007.,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2010.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2012.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godine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B539B" w:rsidRPr="0051678F" w:rsidRDefault="003B539B" w:rsidP="003B539B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r w:rsidRPr="0051678F">
        <w:rPr>
          <w:b/>
          <w:bCs/>
          <w:color w:val="333333"/>
          <w:bdr w:val="none" w:sz="0" w:space="0" w:color="auto" w:frame="1"/>
        </w:rPr>
        <w:t>Ruralni i regionalni razvoj</w:t>
      </w:r>
    </w:p>
    <w:p w:rsidR="003B539B" w:rsidRPr="0051678F" w:rsidRDefault="003B539B" w:rsidP="003B539B">
      <w:pPr>
        <w:numPr>
          <w:ilvl w:val="0"/>
          <w:numId w:val="3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U 24 općine usvojene su integrirane lokalne razvojne strategije koje pokrivaju ekonomski, socijalni i okolišni sektor, i usklađene su sa općinskim budžetima, dok je u proces izrade politika direktno bilo uključeno blizu 1.400 predstavnika zajednica;</w:t>
      </w:r>
    </w:p>
    <w:p w:rsidR="003B539B" w:rsidRPr="0051678F" w:rsidRDefault="003B539B" w:rsidP="003B539B">
      <w:pPr>
        <w:numPr>
          <w:ilvl w:val="0"/>
          <w:numId w:val="3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Preko 200 projekata pripremljeno je i implementirano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strane 190 organizacija civilnog društva u suradnji sa 40 općina. Ciljna skupina uključivala je blizu 40.000 korisnika, a projekti su se bavili prioritetnim lokalnim potrebama, sa fokusom na socijalno uključivanje, obrazovanje, okoliš, kulturu, volonterski rad, aktivnosti mladih i manjinske skupine;</w:t>
      </w:r>
    </w:p>
    <w:p w:rsidR="003B539B" w:rsidRPr="0051678F" w:rsidRDefault="003B539B" w:rsidP="003B539B">
      <w:pPr>
        <w:numPr>
          <w:ilvl w:val="0"/>
          <w:numId w:val="3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1.800 uzgajivača voća, ovaca i peradi te proizvođača mliječnih proizvoda iz 16 općina primilo je direktnu pomoć u vidu materijala, obuke, certifikacije i posredovanja sa kupcima, što je rezultiralo povećanjem proizvodnje i produktivnosti;</w:t>
      </w:r>
    </w:p>
    <w:p w:rsidR="003B539B" w:rsidRPr="0051678F" w:rsidRDefault="003B539B" w:rsidP="003B539B">
      <w:pPr>
        <w:numPr>
          <w:ilvl w:val="0"/>
          <w:numId w:val="3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23 mala i srednja preduzeća dobila su direktnu podršku kako bi proširila proizvodnju i unaprijedila konkurentnost, što je dovelo do boljeg pozicioniranja BiH proizvoda kako na domaćem, tako i na međunarodnom tržištu, i rezultiralo otvaranjem više od 300 novih radnih mjesta;</w:t>
      </w:r>
    </w:p>
    <w:p w:rsidR="003B539B" w:rsidRPr="0051678F" w:rsidRDefault="003B539B" w:rsidP="003B539B">
      <w:pPr>
        <w:numPr>
          <w:ilvl w:val="0"/>
          <w:numId w:val="3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Preko 400 domaćinstava dobilo je električnu energiju, a skoro 100 kilometara nisko- i visokonaponske električne mreže obnovljeno je u 17 općina;</w:t>
      </w:r>
    </w:p>
    <w:p w:rsidR="003B539B" w:rsidRPr="0051678F" w:rsidRDefault="003B539B" w:rsidP="003B539B">
      <w:pPr>
        <w:numPr>
          <w:ilvl w:val="0"/>
          <w:numId w:val="3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Preko 50 infrastrukturnih i građevinskih projekata implementirano je kako bi se unaprijedili životni uslovi (snabdijevanje vodom za 50.000 korisnika, upravljanje </w:t>
      </w:r>
      <w:r w:rsidRPr="0051678F">
        <w:rPr>
          <w:rFonts w:ascii="Times New Roman" w:hAnsi="Times New Roman" w:cs="Times New Roman"/>
          <w:color w:val="333333"/>
          <w:sz w:val="24"/>
          <w:szCs w:val="24"/>
        </w:rPr>
        <w:lastRenderedPageBreak/>
        <w:t>otpadnim vodama, lokalni putevi), obrazovanje i mogućnosti zapošljavanja za preko 65.000 ljudi u 28 općina širom zemlje;</w:t>
      </w:r>
    </w:p>
    <w:p w:rsidR="003B539B" w:rsidRPr="0051678F" w:rsidRDefault="003B539B" w:rsidP="003B539B">
      <w:pPr>
        <w:numPr>
          <w:ilvl w:val="0"/>
          <w:numId w:val="3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Vlade oba entiteta usvojile su Strategiju obuke za zaposlene u jedinicama lokalne samouprave, postavljajući tako temelj za uspostavljanje Sistema obuke za jedinice lokalne samouprave kao javnog mehanizma za realizaciju kvalitetne pomoći lokalnim vlastima u izgradnji kapaciteta;</w:t>
      </w:r>
    </w:p>
    <w:p w:rsidR="003B539B" w:rsidRPr="0051678F" w:rsidRDefault="003B539B" w:rsidP="003B539B">
      <w:pPr>
        <w:numPr>
          <w:ilvl w:val="0"/>
          <w:numId w:val="3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20 programa obuke proizašlih iz entitetskih Strategija obuke kreirano je i realizirano za preko 2.100 zaposlenika lokalnih jedinica samouprave i izabranih zvaničnika, iz oblasti kao što su upravljanje projektnim ciklusom, lokalni razvoj, upravljanje imovinom i sredstvima, upravljanje prihodima, izrada velikih infrastrukturnih projekata, upravljanje vodom i otpadnim vodama i energetska efikasnost;</w:t>
      </w:r>
    </w:p>
    <w:p w:rsidR="003B539B" w:rsidRPr="0051678F" w:rsidRDefault="003B539B" w:rsidP="003B539B">
      <w:pPr>
        <w:numPr>
          <w:ilvl w:val="0"/>
          <w:numId w:val="3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Kreiran je standardizirani program uvodne obuke za novoizabrane zvaničnike i trenutno se izvodi za preko 2.000 lokalnih vijećnika.</w:t>
      </w:r>
    </w:p>
    <w:p w:rsidR="003B539B" w:rsidRPr="0051678F" w:rsidRDefault="003B539B" w:rsidP="003B539B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r w:rsidRPr="0051678F">
        <w:rPr>
          <w:b/>
          <w:bCs/>
          <w:color w:val="333333"/>
          <w:bdr w:val="none" w:sz="0" w:space="0" w:color="auto" w:frame="1"/>
        </w:rPr>
        <w:t>Društveno uključivanje i demokratska uprava</w:t>
      </w:r>
    </w:p>
    <w:p w:rsidR="003B539B" w:rsidRPr="0051678F" w:rsidRDefault="003B539B" w:rsidP="003B539B">
      <w:pPr>
        <w:numPr>
          <w:ilvl w:val="0"/>
          <w:numId w:val="4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Prva visokokvalitetna mreža usluga za mlade bez zaposlenja u BiH uspostavljena je kroz 17 centara za informisanje, obuku i savjetovanje (CISO) u javnim službama za zapošljavanje; više od 42.500 nezaposlenih dobilo je različite usluge i obuku za povećanje mogućnosti zapošljavanja, što je na kraju pomoglo preko 4.000 mladih ljudi da se zaposle;</w:t>
      </w:r>
    </w:p>
    <w:p w:rsidR="003B539B" w:rsidRPr="0051678F" w:rsidRDefault="003B539B" w:rsidP="003B539B">
      <w:pPr>
        <w:numPr>
          <w:ilvl w:val="0"/>
          <w:numId w:val="4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Preko 80.000 korisnika (učenici, kulturni radnici, umjetnici, poduzetnici, turistički radnici itd.) učestvovalo je u kreativnim projektima koji su obogatili njihove živote i omogućili međuentitetsku suradnju i razmjene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temu interkulturalnosti, kulturnog turizma i umjetnosti u svrhu razumijevanja. Kulturne institucije opremljene su alatima i metodologijama za pripremanje i praćenje politika u oblastima interkulturalnog dijaloga koje su vezane za mir i proces pomirenja. Razvijena je metodologija za kulturnu statistiku u skladu sa EUROSTAT standardima, sa ciljem dokumentiranja uloge kulturnog sektora, kao i kulturne industrije, kao značajnih doprinositelja za BDP zemlje;</w:t>
      </w:r>
    </w:p>
    <w:p w:rsidR="003B539B" w:rsidRPr="0051678F" w:rsidRDefault="003B539B" w:rsidP="003B539B">
      <w:pPr>
        <w:numPr>
          <w:ilvl w:val="0"/>
          <w:numId w:val="4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33 organizacijske jedinice u 13 ministarstava (tri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državnom nivou, pet u RS i pet u FBiH) dobile su podršku u razvoju svojih strateških planova. Podrška osigurana u oblasti upravljanja javnim finansijama ojačala je procese upravljanja budžetima u partnerskim ministarstvima kroz uspostavljanje poveznica između strateških planova i prijedloga budžeta. Ista metodologija strateškog planiranja i izrade politika promovirana je na državnom i entitetskim nivoima, što je od ključnog značaja za osiguranje stalnog nivoa kvaliteta i zajedničkog razumijevanja ovih koncepata na različitim nivoima vlasti;</w:t>
      </w:r>
    </w:p>
    <w:p w:rsidR="003B539B" w:rsidRPr="0051678F" w:rsidRDefault="003B539B" w:rsidP="003B539B">
      <w:pPr>
        <w:numPr>
          <w:ilvl w:val="0"/>
          <w:numId w:val="4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Ostvaren je znatan napredak u kontroli tuberkuloze u BiH, u smislu poboljšane detekcije slučajeva TBC-a i neprekinutog snadbijevanja besplatnim lijekovima svih pacijenata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sa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TBC-om. Uspostavljena je ojačana i regionalizirana mreža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15 TBC laboratorija, sa sveobuhvatnim sistemom bilježenja i izvještavanja kao dijelom efikasnog praćenja i evaluacije. Kao rezultat, broj slučajeva tuberkuloze smanjen je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sa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2.373 u 2007 na 1.385 u 2012. godini;</w:t>
      </w:r>
    </w:p>
    <w:p w:rsidR="003B539B" w:rsidRPr="0051678F" w:rsidRDefault="003B539B" w:rsidP="003B539B">
      <w:pPr>
        <w:numPr>
          <w:ilvl w:val="0"/>
          <w:numId w:val="4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U suradnji sa Međureligijskim vijećem u 32 općine u BiH, četiri religijske zajednice (islamska, pravoslavna, katolička i jevrejska) koristile su posebno osmišljenu i kontekstualiziranu metodologiju – “Putevi nade” – kako bi mobilizirale i podržale brojne </w:t>
      </w:r>
      <w:r w:rsidRPr="0051678F">
        <w:rPr>
          <w:rFonts w:ascii="Times New Roman" w:hAnsi="Times New Roman" w:cs="Times New Roman"/>
          <w:color w:val="333333"/>
          <w:sz w:val="24"/>
          <w:szCs w:val="24"/>
        </w:rPr>
        <w:lastRenderedPageBreak/>
        <w:t>vjerske lidere, učitelje vjeronauke, vjerske organizacije i vjernike da usvoje odgovarajuća znanja i vještine u cilju smanjivanja stigme prema osobama koje žive sa HIV/AIDS-om;</w:t>
      </w:r>
    </w:p>
    <w:p w:rsidR="003B539B" w:rsidRPr="0051678F" w:rsidRDefault="003B539B" w:rsidP="003B539B">
      <w:pPr>
        <w:numPr>
          <w:ilvl w:val="0"/>
          <w:numId w:val="4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Preko 800 osoba iz 180 vladinih, nevladinih, akademskih i istraživačkih institucija iz devet zemalja Jugoistočne Evrope obučeno je za pružanje elektronskih javnih usluga. Uz korištenje jednostavne i jeftine metodologije, provedena je prva procjena e-dostupnosti u devet zemalja Jugoistočne Evrope, kako bi se obezbijedile ne samo baza, mapiranje i analiza akcija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polju e-dostupnosti, već i preporuke vezane za proces pristupanja EU, te za UN Konvenciju o pravima osoba sa invaliditetom.</w:t>
      </w:r>
    </w:p>
    <w:p w:rsidR="003B539B" w:rsidRPr="0051678F" w:rsidRDefault="003B539B" w:rsidP="003B539B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r w:rsidRPr="0051678F">
        <w:rPr>
          <w:b/>
          <w:bCs/>
          <w:color w:val="333333"/>
          <w:bdr w:val="none" w:sz="0" w:space="0" w:color="auto" w:frame="1"/>
        </w:rPr>
        <w:t>Energija i okoliš</w:t>
      </w:r>
    </w:p>
    <w:p w:rsidR="003B539B" w:rsidRPr="0051678F" w:rsidRDefault="003B539B" w:rsidP="003B539B">
      <w:pPr>
        <w:numPr>
          <w:ilvl w:val="0"/>
          <w:numId w:val="5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Uspostavljeno je ovlašteno tijelo BiH (DNA), čime je BiH ispunila uslove za učešće u Mehanizmu čistog razvoja (CDM), s ciljem smanjenja emisije stakleničkih gasova. Dva CDM projekta odobrena su od strane DNA, što omogućava preko 300 miliona eura direktnih stranih ulaganja u BiH ekonomiju i stvaranje do 1.000 radnih mjesta;</w:t>
      </w:r>
    </w:p>
    <w:p w:rsidR="003B539B" w:rsidRPr="0051678F" w:rsidRDefault="003B539B" w:rsidP="003B539B">
      <w:pPr>
        <w:numPr>
          <w:ilvl w:val="0"/>
          <w:numId w:val="5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Izrađen je i usvojen Zakon o fondu za zaštitu životne okoline i energetsku efikasnost Republike Srpske. Po prvi put zakon u potpunosti provodi načelo „zagađivač plaća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“ i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stvara uslove za povećanu i efikasnu raspodjelu državnih resursa u sektoru okoliša. Ova uspješna suradnja vodila je tome da se vlasti Federacije BiH i Brčko distrikta obrate UNDP-u da vodi proces harmonizacije legislative iz oblasti okolišnog fonda i njenog usklađivanja sa EU Acquis-em;</w:t>
      </w:r>
    </w:p>
    <w:p w:rsidR="003B539B" w:rsidRPr="0051678F" w:rsidRDefault="003B539B" w:rsidP="003B539B">
      <w:pPr>
        <w:numPr>
          <w:ilvl w:val="0"/>
          <w:numId w:val="5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Kapaciteti vlasti, organizacija civilnog društva i građana za planiranje strategija i akcija u oblasti okoliša i energetske efikasnosti na lokalnom nivou, ojačani su kroz participatornu izradu: 30 lokalnih akcionih planova za zaštitu okoliša (LEAP), šest Akcionih planova za održivu energiju (SEAP), 11 općinskih Studija vodosnabdijevanja, tri Inicijative za zaštitu biodiverziteta i tri Inicijative za korištenje održivih izvora energije (biomase);</w:t>
      </w:r>
    </w:p>
    <w:p w:rsidR="003B539B" w:rsidRPr="0051678F" w:rsidRDefault="003B539B" w:rsidP="003B539B">
      <w:pPr>
        <w:numPr>
          <w:ilvl w:val="0"/>
          <w:numId w:val="5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Sa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ciljem demonstriranja dobrobiti energetske efikasnosti, 38 pilot projekata iz oblasti energetske efikasnosti implementirano je kroz partnerstvo sa USAID-om i GIZ-om, kako bi se promovirala energetska efikasnost i smanjenje potrošnje energije u javnim zgradama u BiH. Početno ulaganje od 3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,8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miliona američkih dolara (uz dodatnih 2,5 miliona američkih dolara paralelnog finansiranja od strane partnera) rezultiralo je godišnjim smanjenjem emisije stakleničkih gasova od 2.200 tona CO2 i godišnjom finansijskom uštedom za troškove energije u visini 660.000 američkih dolara. Istovremeno, sistemi upravljanja energijom u 10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bh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gradova/općina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unaprijeđeni su uvođenjem aplikacije za praćenje i analizu potrošnje energije i vode u javnim zgradama putem interneta (Informacijski sistem za upravljanje energijom – EMIS). Više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260 javnih zgrada registrovano je u sistemu. Za to vrijeme, stvorena su „zelena“ zaposlenja u ekvivalentu od oko 55 radnih godina;</w:t>
      </w:r>
    </w:p>
    <w:p w:rsidR="003B539B" w:rsidRPr="0051678F" w:rsidRDefault="003B539B" w:rsidP="003B539B">
      <w:pPr>
        <w:numPr>
          <w:ilvl w:val="0"/>
          <w:numId w:val="5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Osnovano je prvo državno udruženje za drvnu biomasu. Na lokalnom nivou, teme energije i okoliša uvedene su u nastavni program osnovnih škola i 40 nastavnika iz regije Srebrenice prošlo je obuku iz oblasti obnovljive energije i zaštite okoliša. Šest pilot projekata implementirano je kako bi se očistili i popravili sistemi grijanja u osnovnim školama u regiji Srebrenice, što je rezultiralo smanjenjem emisije stakleničkih gasova od 29 tona CO2 i godišnjom uštedom energije od 20%;</w:t>
      </w:r>
    </w:p>
    <w:p w:rsidR="003B539B" w:rsidRPr="0051678F" w:rsidRDefault="003B539B" w:rsidP="003B539B">
      <w:pPr>
        <w:numPr>
          <w:ilvl w:val="0"/>
          <w:numId w:val="5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Implementirano je 11 infrastrukturnih projekata vodosnabdijevanja u općinama, kako bi se obezbijedio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novi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ili poboljšan pristup čistoj i sigurnoj vodi za 11.000 domaćinstava </w:t>
      </w:r>
      <w:r w:rsidRPr="0051678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(50.000 građana), uključujući 200 porodica povratnika, kao i 1.700 preduzeća i jednu medicinsku kliniku. Nova infrastruktura rezultirala je godišnjom uštedom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600.000 američkih dolara u troškovima općina za vodosnabdijevanje i održavanje infrastrukture.</w:t>
      </w:r>
    </w:p>
    <w:p w:rsidR="003B539B" w:rsidRPr="0051678F" w:rsidRDefault="003B539B" w:rsidP="003B539B">
      <w:pPr>
        <w:pStyle w:val="Heading3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Ko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donosi odluke?</w:t>
      </w:r>
    </w:p>
    <w:p w:rsidR="003B539B" w:rsidRPr="0051678F" w:rsidRDefault="003B539B" w:rsidP="003B539B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proofErr w:type="gramStart"/>
      <w:r w:rsidRPr="0051678F">
        <w:rPr>
          <w:color w:val="333333"/>
        </w:rPr>
        <w:t>Rezidentni koordinator Ujedinjenih nacija, kao izvršni predstavnik generalnog sekretara UN-a, predvodi UN Tim u Bosni i Hercegovini i obavlja funkciju rezidentnog predstavnika Razvojnog programa Ujedinjenih nacija (UNDP).</w:t>
      </w:r>
      <w:proofErr w:type="gramEnd"/>
      <w:r w:rsidRPr="0051678F">
        <w:rPr>
          <w:color w:val="333333"/>
        </w:rPr>
        <w:br/>
      </w:r>
      <w:r w:rsidRPr="0051678F">
        <w:rPr>
          <w:color w:val="333333"/>
        </w:rPr>
        <w:br/>
      </w:r>
      <w:proofErr w:type="gramStart"/>
      <w:r w:rsidRPr="0051678F">
        <w:rPr>
          <w:color w:val="333333"/>
        </w:rPr>
        <w:t>UNDP u Bosni i Hercegovini vode rezidentna predstavnica, Sezin Sinanoglu i zamjenica rezidentne predstavnice, Zahira Virani.</w:t>
      </w:r>
      <w:proofErr w:type="gramEnd"/>
      <w:r w:rsidRPr="0051678F">
        <w:rPr>
          <w:color w:val="333333"/>
        </w:rPr>
        <w:t xml:space="preserve"> Zajedno su odgovorni za učinkoviti svakodnevni menadžment UNDP ureda, </w:t>
      </w:r>
      <w:proofErr w:type="gramStart"/>
      <w:r w:rsidRPr="0051678F">
        <w:rPr>
          <w:color w:val="333333"/>
        </w:rPr>
        <w:t>te</w:t>
      </w:r>
      <w:proofErr w:type="gramEnd"/>
      <w:r w:rsidRPr="0051678F">
        <w:rPr>
          <w:color w:val="333333"/>
        </w:rPr>
        <w:t xml:space="preserve"> su direktno odgovorni za vođenje UNDP programa i operacija kako bi se osigurala usklađenost sa strateškim pravcima djelovanja UNDP-a.</w:t>
      </w:r>
      <w:r w:rsidRPr="0051678F">
        <w:rPr>
          <w:color w:val="333333"/>
        </w:rPr>
        <w:br/>
      </w:r>
      <w:r w:rsidRPr="0051678F">
        <w:rPr>
          <w:color w:val="333333"/>
        </w:rPr>
        <w:br/>
        <w:t xml:space="preserve">UNDP djeluje u bliskoj saradnji </w:t>
      </w:r>
      <w:proofErr w:type="gramStart"/>
      <w:r w:rsidRPr="0051678F">
        <w:rPr>
          <w:color w:val="333333"/>
        </w:rPr>
        <w:t>sa</w:t>
      </w:r>
      <w:proofErr w:type="gramEnd"/>
      <w:r w:rsidRPr="0051678F">
        <w:rPr>
          <w:color w:val="333333"/>
        </w:rPr>
        <w:t xml:space="preserve"> institucijama vlasti u Bosni i Hercegovini na svim nivoima, putem nadležnih ministarstava, agencija i institucija. </w:t>
      </w:r>
      <w:proofErr w:type="gramStart"/>
      <w:r w:rsidRPr="0051678F">
        <w:rPr>
          <w:color w:val="333333"/>
        </w:rPr>
        <w:t>Implementaciju programskih aktivnosti UNDP-a provode partnerske institucija/organizacije (gdje je to primjereno) uključujući partnere iz institucija vlasti (vlada) i organizacije civilnog društva.</w:t>
      </w:r>
      <w:proofErr w:type="gramEnd"/>
      <w:r w:rsidRPr="0051678F">
        <w:rPr>
          <w:color w:val="333333"/>
        </w:rPr>
        <w:br/>
      </w:r>
      <w:r w:rsidRPr="0051678F">
        <w:rPr>
          <w:color w:val="333333"/>
        </w:rPr>
        <w:br/>
        <w:t xml:space="preserve">UNDP u Bosni i Hercegovini fokusira se </w:t>
      </w:r>
      <w:proofErr w:type="gramStart"/>
      <w:r w:rsidRPr="0051678F">
        <w:rPr>
          <w:color w:val="333333"/>
        </w:rPr>
        <w:t>na</w:t>
      </w:r>
      <w:proofErr w:type="gramEnd"/>
      <w:r w:rsidRPr="0051678F">
        <w:rPr>
          <w:color w:val="333333"/>
        </w:rPr>
        <w:t xml:space="preserve"> četiri programske oblasti koje vode koordinatori sektora:</w:t>
      </w:r>
      <w:r w:rsidRPr="0051678F">
        <w:rPr>
          <w:rStyle w:val="apple-converted-space"/>
          <w:color w:val="333333"/>
        </w:rPr>
        <w:t> </w:t>
      </w:r>
      <w:r w:rsidRPr="0051678F">
        <w:rPr>
          <w:i/>
          <w:iCs/>
          <w:color w:val="333333"/>
          <w:bdr w:val="none" w:sz="0" w:space="0" w:color="auto" w:frame="1"/>
        </w:rPr>
        <w:t>Ruralni i regionalni razvoj, Društveno uključivanje i demokratsko upravljanje, Pravda i sigurnost</w:t>
      </w:r>
      <w:r w:rsidRPr="0051678F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51678F">
        <w:rPr>
          <w:color w:val="333333"/>
        </w:rPr>
        <w:t>i</w:t>
      </w:r>
      <w:r w:rsidRPr="0051678F">
        <w:rPr>
          <w:rStyle w:val="apple-converted-space"/>
          <w:color w:val="333333"/>
        </w:rPr>
        <w:t> </w:t>
      </w:r>
      <w:r w:rsidRPr="0051678F">
        <w:rPr>
          <w:i/>
          <w:iCs/>
          <w:color w:val="333333"/>
          <w:bdr w:val="none" w:sz="0" w:space="0" w:color="auto" w:frame="1"/>
        </w:rPr>
        <w:t>Energija i okoliš</w:t>
      </w:r>
      <w:r w:rsidRPr="0051678F">
        <w:rPr>
          <w:color w:val="333333"/>
        </w:rPr>
        <w:t>.</w:t>
      </w:r>
    </w:p>
    <w:p w:rsidR="003B539B" w:rsidRPr="0051678F" w:rsidRDefault="003B539B">
      <w:pPr>
        <w:rPr>
          <w:rFonts w:ascii="Times New Roman" w:hAnsi="Times New Roman" w:cs="Times New Roman"/>
          <w:b/>
          <w:sz w:val="24"/>
          <w:szCs w:val="24"/>
        </w:rPr>
      </w:pPr>
    </w:p>
    <w:p w:rsidR="0051678F" w:rsidRDefault="0051678F" w:rsidP="0051678F">
      <w:pPr>
        <w:pStyle w:val="Heading1"/>
        <w:spacing w:before="0" w:beforeAutospacing="0" w:after="0" w:afterAutospacing="0" w:line="594" w:lineRule="atLeast"/>
        <w:textAlignment w:val="baseline"/>
        <w:rPr>
          <w:color w:val="333333"/>
          <w:spacing w:val="-30"/>
          <w:sz w:val="24"/>
          <w:szCs w:val="24"/>
        </w:rPr>
      </w:pPr>
      <w:r w:rsidRPr="0051678F">
        <w:rPr>
          <w:color w:val="333333"/>
          <w:spacing w:val="-30"/>
          <w:sz w:val="24"/>
          <w:szCs w:val="24"/>
        </w:rPr>
        <w:t>O UNDP-u u Hrvatskoj</w:t>
      </w:r>
    </w:p>
    <w:p w:rsidR="0051678F" w:rsidRPr="0051678F" w:rsidRDefault="0051678F" w:rsidP="0051678F">
      <w:pPr>
        <w:pStyle w:val="Heading1"/>
        <w:spacing w:before="0" w:beforeAutospacing="0" w:after="0" w:afterAutospacing="0" w:line="594" w:lineRule="atLeast"/>
        <w:textAlignment w:val="baseline"/>
        <w:rPr>
          <w:color w:val="333333"/>
          <w:spacing w:val="-30"/>
          <w:sz w:val="24"/>
          <w:szCs w:val="24"/>
        </w:rPr>
      </w:pPr>
    </w:p>
    <w:p w:rsidR="0051678F" w:rsidRPr="0051678F" w:rsidRDefault="0051678F" w:rsidP="0051678F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r w:rsidRPr="0051678F">
        <w:rPr>
          <w:color w:val="333333"/>
        </w:rPr>
        <w:t xml:space="preserve">Program Ujedinjenih naroda za razvoj je prisutan u Republici Hrvatskoj </w:t>
      </w:r>
      <w:proofErr w:type="gramStart"/>
      <w:r w:rsidRPr="0051678F">
        <w:rPr>
          <w:color w:val="333333"/>
        </w:rPr>
        <w:t>od</w:t>
      </w:r>
      <w:proofErr w:type="gramEnd"/>
      <w:r w:rsidRPr="0051678F">
        <w:rPr>
          <w:color w:val="333333"/>
        </w:rPr>
        <w:t xml:space="preserve"> 1996. </w:t>
      </w:r>
      <w:proofErr w:type="gramStart"/>
      <w:r w:rsidRPr="0051678F">
        <w:rPr>
          <w:color w:val="333333"/>
        </w:rPr>
        <w:t>godine</w:t>
      </w:r>
      <w:proofErr w:type="gramEnd"/>
      <w:r w:rsidRPr="0051678F">
        <w:rPr>
          <w:color w:val="333333"/>
        </w:rPr>
        <w:t xml:space="preserve">, kad je osnovan prvi Ured za vezu. </w:t>
      </w:r>
      <w:proofErr w:type="gramStart"/>
      <w:r w:rsidRPr="0051678F">
        <w:rPr>
          <w:color w:val="333333"/>
        </w:rPr>
        <w:t>Od 2001.</w:t>
      </w:r>
      <w:proofErr w:type="gramEnd"/>
      <w:r w:rsidRPr="0051678F">
        <w:rPr>
          <w:color w:val="333333"/>
        </w:rPr>
        <w:t xml:space="preserve"> </w:t>
      </w:r>
      <w:proofErr w:type="gramStart"/>
      <w:r w:rsidRPr="0051678F">
        <w:rPr>
          <w:color w:val="333333"/>
        </w:rPr>
        <w:t>godine</w:t>
      </w:r>
      <w:proofErr w:type="gramEnd"/>
      <w:r w:rsidRPr="0051678F">
        <w:rPr>
          <w:color w:val="333333"/>
        </w:rPr>
        <w:t xml:space="preserve"> djeluje kao Ured Stalnog predstavnika.  Suradnja između UNDP-</w:t>
      </w:r>
      <w:proofErr w:type="gramStart"/>
      <w:r w:rsidRPr="0051678F">
        <w:rPr>
          <w:color w:val="333333"/>
        </w:rPr>
        <w:t>a</w:t>
      </w:r>
      <w:proofErr w:type="gramEnd"/>
      <w:r w:rsidRPr="0051678F">
        <w:rPr>
          <w:color w:val="333333"/>
        </w:rPr>
        <w:t xml:space="preserve"> i hrvatske Vlade je definirana Standardnim osnovnim ugovorom o suradnji koji je potpisan 1996. </w:t>
      </w:r>
      <w:r w:rsidRPr="0051678F">
        <w:rPr>
          <w:color w:val="333333"/>
        </w:rPr>
        <w:br/>
      </w:r>
      <w:r w:rsidRPr="0051678F">
        <w:rPr>
          <w:color w:val="333333"/>
        </w:rPr>
        <w:br/>
      </w:r>
      <w:proofErr w:type="gramStart"/>
      <w:r w:rsidRPr="0051678F">
        <w:rPr>
          <w:color w:val="333333"/>
        </w:rPr>
        <w:t>Od</w:t>
      </w:r>
      <w:proofErr w:type="gramEnd"/>
      <w:r w:rsidRPr="0051678F">
        <w:rPr>
          <w:rStyle w:val="apple-converted-space"/>
          <w:rFonts w:eastAsiaTheme="majorEastAsia"/>
          <w:color w:val="333333"/>
        </w:rPr>
        <w:t> </w:t>
      </w:r>
      <w:r w:rsidRPr="0051678F">
        <w:rPr>
          <w:b/>
          <w:bCs/>
          <w:color w:val="333333"/>
          <w:bdr w:val="none" w:sz="0" w:space="0" w:color="auto" w:frame="1"/>
        </w:rPr>
        <w:t xml:space="preserve">1. </w:t>
      </w:r>
      <w:proofErr w:type="gramStart"/>
      <w:r w:rsidRPr="0051678F">
        <w:rPr>
          <w:b/>
          <w:bCs/>
          <w:color w:val="333333"/>
          <w:bdr w:val="none" w:sz="0" w:space="0" w:color="auto" w:frame="1"/>
        </w:rPr>
        <w:t>srpnja</w:t>
      </w:r>
      <w:proofErr w:type="gramEnd"/>
      <w:r w:rsidRPr="0051678F">
        <w:rPr>
          <w:b/>
          <w:bCs/>
          <w:color w:val="333333"/>
          <w:bdr w:val="none" w:sz="0" w:space="0" w:color="auto" w:frame="1"/>
        </w:rPr>
        <w:t xml:space="preserve"> 2014.</w:t>
      </w:r>
      <w:r w:rsidRPr="0051678F">
        <w:rPr>
          <w:color w:val="333333"/>
        </w:rPr>
        <w:t>, UNDP u Hrvatskoj djeluje kao</w:t>
      </w:r>
      <w:r w:rsidRPr="0051678F">
        <w:rPr>
          <w:rStyle w:val="apple-converted-space"/>
          <w:rFonts w:eastAsiaTheme="majorEastAsia"/>
          <w:color w:val="333333"/>
        </w:rPr>
        <w:t> </w:t>
      </w:r>
      <w:r w:rsidRPr="0051678F">
        <w:rPr>
          <w:b/>
          <w:bCs/>
          <w:color w:val="333333"/>
          <w:bdr w:val="none" w:sz="0" w:space="0" w:color="auto" w:frame="1"/>
        </w:rPr>
        <w:t>Projektni ured koji se samostalno financira</w:t>
      </w:r>
      <w:r w:rsidRPr="0051678F">
        <w:rPr>
          <w:rStyle w:val="apple-converted-space"/>
          <w:rFonts w:eastAsiaTheme="majorEastAsia"/>
          <w:color w:val="333333"/>
        </w:rPr>
        <w:t> </w:t>
      </w:r>
      <w:r w:rsidRPr="0051678F">
        <w:rPr>
          <w:color w:val="333333"/>
        </w:rPr>
        <w:t xml:space="preserve">te također obavlja neke regionalne funkcije poput razmjene znanja na područjima UNDP-ove komparativne prednosti. Opseg aktivnosti i mandat projektnog ureda uključuje projekte koji su trenutno u fazi provedbe i eventualno nove angažmane zatražene </w:t>
      </w:r>
      <w:proofErr w:type="gramStart"/>
      <w:r w:rsidRPr="0051678F">
        <w:rPr>
          <w:color w:val="333333"/>
        </w:rPr>
        <w:t>od</w:t>
      </w:r>
      <w:proofErr w:type="gramEnd"/>
      <w:r w:rsidRPr="0051678F">
        <w:rPr>
          <w:color w:val="333333"/>
        </w:rPr>
        <w:t xml:space="preserve"> strane hrvatskih državnih institucija te u skladu s UNDP-ovim radom u novim državama članicama EU. Prema ugovoru s Vladom, UNDP </w:t>
      </w:r>
      <w:proofErr w:type="gramStart"/>
      <w:r w:rsidRPr="0051678F">
        <w:rPr>
          <w:color w:val="333333"/>
        </w:rPr>
        <w:t>će</w:t>
      </w:r>
      <w:proofErr w:type="gramEnd"/>
      <w:r w:rsidRPr="0051678F">
        <w:rPr>
          <w:color w:val="333333"/>
        </w:rPr>
        <w:t xml:space="preserve"> nastaviti provoditi projekte u Republici Hrvatskoj do kraja 2017.</w:t>
      </w:r>
      <w:r w:rsidRPr="0051678F">
        <w:rPr>
          <w:color w:val="333333"/>
        </w:rPr>
        <w:br/>
      </w:r>
      <w:r w:rsidRPr="0051678F">
        <w:rPr>
          <w:color w:val="333333"/>
        </w:rPr>
        <w:br/>
        <w:t xml:space="preserve">Taj prijelaz je rezultat Hrvatske graduacije prema statusu neto uplatitelja, završetka proširenog </w:t>
      </w:r>
      <w:proofErr w:type="gramStart"/>
      <w:r w:rsidRPr="0051678F">
        <w:rPr>
          <w:color w:val="333333"/>
        </w:rPr>
        <w:t>Programa</w:t>
      </w:r>
      <w:proofErr w:type="gramEnd"/>
      <w:r w:rsidRPr="0051678F">
        <w:rPr>
          <w:color w:val="333333"/>
        </w:rPr>
        <w:t xml:space="preserve"> za Hrvatsku od 2007.-2013. </w:t>
      </w:r>
      <w:proofErr w:type="gramStart"/>
      <w:r w:rsidRPr="0051678F">
        <w:rPr>
          <w:color w:val="333333"/>
        </w:rPr>
        <w:t>i</w:t>
      </w:r>
      <w:proofErr w:type="gramEnd"/>
      <w:r w:rsidRPr="0051678F">
        <w:rPr>
          <w:color w:val="333333"/>
        </w:rPr>
        <w:t xml:space="preserve"> novih okolnosti nastalih ulaskom Hrvatske u Europsku uniju (EU) 1. </w:t>
      </w:r>
      <w:proofErr w:type="gramStart"/>
      <w:r w:rsidRPr="0051678F">
        <w:rPr>
          <w:color w:val="333333"/>
        </w:rPr>
        <w:t>srpnja</w:t>
      </w:r>
      <w:proofErr w:type="gramEnd"/>
      <w:r w:rsidRPr="0051678F">
        <w:rPr>
          <w:color w:val="333333"/>
        </w:rPr>
        <w:t xml:space="preserve"> 2013.</w:t>
      </w:r>
      <w:r w:rsidRPr="0051678F">
        <w:rPr>
          <w:color w:val="333333"/>
        </w:rPr>
        <w:br/>
      </w:r>
      <w:r w:rsidRPr="0051678F">
        <w:rPr>
          <w:color w:val="333333"/>
        </w:rPr>
        <w:br/>
      </w:r>
      <w:r w:rsidRPr="0051678F">
        <w:rPr>
          <w:color w:val="333333"/>
        </w:rPr>
        <w:lastRenderedPageBreak/>
        <w:t xml:space="preserve">Programske aktivnosti UNDP-a u Hrvatskoj provode se prema Strateškoj noti </w:t>
      </w:r>
      <w:proofErr w:type="gramStart"/>
      <w:r w:rsidRPr="0051678F">
        <w:rPr>
          <w:color w:val="333333"/>
        </w:rPr>
        <w:t>2014.,</w:t>
      </w:r>
      <w:proofErr w:type="gramEnd"/>
      <w:r w:rsidRPr="0051678F">
        <w:rPr>
          <w:color w:val="333333"/>
        </w:rPr>
        <w:t xml:space="preserve"> Strateškom planu UNDP-a 2014.-2017., kao i prema pojedinim projektnim dokumentima.</w:t>
      </w:r>
    </w:p>
    <w:p w:rsidR="0051678F" w:rsidRPr="0051678F" w:rsidRDefault="0051678F" w:rsidP="0051678F">
      <w:pPr>
        <w:pStyle w:val="Heading3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Što želimo postići?</w:t>
      </w:r>
      <w:proofErr w:type="gramEnd"/>
    </w:p>
    <w:p w:rsidR="0051678F" w:rsidRPr="0051678F" w:rsidRDefault="0051678F" w:rsidP="0051678F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r w:rsidRPr="0051678F">
        <w:rPr>
          <w:color w:val="333333"/>
        </w:rPr>
        <w:br/>
        <w:t xml:space="preserve">UNDP kao Projektni ured je usmjeren </w:t>
      </w:r>
      <w:proofErr w:type="gramStart"/>
      <w:r w:rsidRPr="0051678F">
        <w:rPr>
          <w:color w:val="333333"/>
        </w:rPr>
        <w:t>na</w:t>
      </w:r>
      <w:proofErr w:type="gramEnd"/>
      <w:r w:rsidRPr="0051678F">
        <w:rPr>
          <w:color w:val="333333"/>
        </w:rPr>
        <w:t xml:space="preserve"> promoviranje održivih energetskih rješenja, nisko-ugljični razvoj, očuvanje zaštićenih područja prirode i zaštitu prirode, poboljšanje životnih i gospodarskih prilika u ratom zahvaćenim područjima, ruralnim i udaljenim područjima; zagovaranje potpune socijalne uključenosti osoba s invaliditetom, manjina i drugih ranjivih te razmjenu znanja o integracijskom procesu Hrvatske u EU s drugim zemljama u regiji.</w:t>
      </w:r>
      <w:r w:rsidRPr="0051678F">
        <w:rPr>
          <w:rStyle w:val="apple-converted-space"/>
          <w:rFonts w:eastAsiaTheme="majorEastAsia"/>
          <w:color w:val="333333"/>
        </w:rPr>
        <w:t> </w:t>
      </w:r>
      <w:r w:rsidRPr="0051678F">
        <w:rPr>
          <w:color w:val="333333"/>
        </w:rPr>
        <w:br/>
      </w:r>
      <w:r w:rsidRPr="0051678F">
        <w:rPr>
          <w:color w:val="333333"/>
        </w:rPr>
        <w:br/>
        <w:t>Misija UNDP-a može se sažeti u jednostavnoj krilatici: </w:t>
      </w:r>
      <w:r w:rsidRPr="0051678F">
        <w:rPr>
          <w:b/>
          <w:bCs/>
          <w:color w:val="333333"/>
          <w:bdr w:val="none" w:sz="0" w:space="0" w:color="auto" w:frame="1"/>
        </w:rPr>
        <w:t>„Ne zanemarimo nikoga</w:t>
      </w:r>
      <w:proofErr w:type="gramStart"/>
      <w:r w:rsidRPr="0051678F">
        <w:rPr>
          <w:b/>
          <w:bCs/>
          <w:color w:val="333333"/>
          <w:bdr w:val="none" w:sz="0" w:space="0" w:color="auto" w:frame="1"/>
        </w:rPr>
        <w:t>.“</w:t>
      </w:r>
      <w:proofErr w:type="gramEnd"/>
    </w:p>
    <w:p w:rsidR="0051678F" w:rsidRPr="0051678F" w:rsidRDefault="0051678F" w:rsidP="0051678F">
      <w:pPr>
        <w:pStyle w:val="Heading3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Ostvareni rezultati</w:t>
      </w:r>
    </w:p>
    <w:p w:rsidR="0051678F" w:rsidRPr="0051678F" w:rsidRDefault="0051678F" w:rsidP="0051678F">
      <w:pPr>
        <w:pStyle w:val="NormalWeb"/>
        <w:spacing w:before="0" w:beforeAutospacing="0" w:after="240" w:afterAutospacing="0" w:line="293" w:lineRule="atLeast"/>
        <w:textAlignment w:val="baseline"/>
        <w:rPr>
          <w:color w:val="333333"/>
        </w:rPr>
      </w:pPr>
      <w:r w:rsidRPr="0051678F">
        <w:rPr>
          <w:color w:val="333333"/>
        </w:rPr>
        <w:br/>
        <w:t>Uspješne inicijative UNDP-a u Hrvatskoj uključuju: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Suradnju s 20 ministarstava, 20 županija i 93 grada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projektu energetske efikasnosti. Sustavnim mjerenjem i racionalnim gospodarenjem energije i vode u 7,000 javnih objekata diljem Hrvatske do sada su ostvarene uštede državnog budžeta u iznosu od 91 milijun kuna godišnje, kao i značajno smanjenje štetnih emisija Hrvatske.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U radionicama kako voditi „zeleni ured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“ sudjelovalo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je ukupno 9,200 zaposlenika državne uprave, uključujući i predsjednika Ivu Josipovića i njegove savjetnike.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U suradnji s Ministarstvom pravosuđa i Vrhovnih sudom RH, osnivanje sedam ureda za podršku svjedocima i žrtvama zločina koji su pozvani svjedočiti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sud. Do sada je podršku ureda zatražilo 12,000 osoba, a Vijeće Europe pohvalilo je ovu hrvatsku praksu.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Prijelaz najvećih dalmatinskih uzgajivača maslina i vinogradara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stopostotnu organsku proizvodnju i pokretanje 83 novih “zelenih poslova” u poljoprivredi, marikulturi i eko-turizmu.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Pokretanje Solarnog edukacijskog centra u Zadru, u suradnji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sa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Zadarskom županijom i strukovnom školom Vice Vlatkovića, u kojem se građani (mahom nezaposleni) mogu dodatno obrazovati za zvanje montera solarnih ploča na brzorastućem tržištu obnovljive energije.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Provedbu certificiranih programa obuke za proizvođače mlijeka, sira, voća i povrća, vinogradare, ovčare, kozare i ostale poljoprivrednike kako bi spremno konkurirali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tržištu Europske unije.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Pripremu ruralnih sredina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suradnju u korištenju i provedbi programa koje financira EU, kroz pokretanje i jačanje Lokalnih akcijskih grupa (LAG), standarda koje EU primjenjuje na razini lokalne zajednice kod planiranja i donošenja odluka koje se tiču razvoja ruralne.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Obnovu fasade Radničkog doma u Vukovaru iz sredstava EU, jednog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najvažnijih arhitektonskih spomenika u srcu Vukovara koji stoji razrušen i napušten još od rata te konzultacije sa širom zajednicom o budućoj svrsi njegove unutrašnjosti.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Prikupljanje preko 75,000 komada oružja i eksplozivnih sredstava od građana, u suradnji s hrvatskom policijom, kako bi se otklonile opasnosti od oružja koje je u posjedu građana </w:t>
      </w:r>
      <w:r w:rsidRPr="0051678F">
        <w:rPr>
          <w:rFonts w:ascii="Times New Roman" w:hAnsi="Times New Roman" w:cs="Times New Roman"/>
          <w:color w:val="333333"/>
          <w:sz w:val="24"/>
          <w:szCs w:val="24"/>
        </w:rPr>
        <w:lastRenderedPageBreak/>
        <w:t>te pružanje podrške uništenju najmanje 30,000 oružanih viškova u borbi protiv krijumčarenja oružja.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Suradnju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sa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114 gradova kako bi osobama s invaliditetom osigurali pristup javnim ustanovama.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Rad s nevladinom organizacijom “Status M”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promociji zdravih oblika muškog ponašanja među srednjoškolcima, u sklopu kampanje uključivanja</w:t>
      </w:r>
      <w:r w:rsidRPr="0051678F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51678F">
        <w:rPr>
          <w:rFonts w:ascii="Times New Roman" w:hAnsi="Times New Roman" w:cs="Times New Roman"/>
          <w:color w:val="333333"/>
          <w:sz w:val="24"/>
          <w:szCs w:val="24"/>
        </w:rPr>
        <w:t>muškaraca u borbu protiv nasilja u obitelji.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Podršku u obučavanju preko 1,700 stručnjaka iz 84 zemlje tijekom proteklih sedam godina za praćanje oboljelih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HIV/AIDS-a pri Školi narodnog zdravlja Andrija Štampar.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Organizaciju ciklusa seminara, u suradnji s Ministarstvom vanjskih i europskih poslova,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kojima</w:t>
      </w:r>
      <w:r w:rsidRPr="0051678F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51678F">
        <w:rPr>
          <w:rFonts w:ascii="Times New Roman" w:hAnsi="Times New Roman" w:cs="Times New Roman"/>
          <w:color w:val="333333"/>
          <w:sz w:val="24"/>
          <w:szCs w:val="24"/>
        </w:rPr>
        <w:t>članovi hrvatskog pregovaračkog tima s EU dijele svoja iskustva s budućim pregovaračima iz drugih zemalja u regiji koje se žele priključiti EU.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Pomoć Ministarstvu branitelja u pripremi novog zakona kako bi riješili potrebe žrtava seksualnog nasilja tijekom Domovinskog rata.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Rad s vodećim nevladinim udrugama za žene kako bi se osigurao psihosocijalni tretman i savjetovanje za prvu grupu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20 žrtava koje su preživjele seksualno nasilja tijekom rata u Vukovaru.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U suradnji s Ministarstvom za regionalni razvoj i EU fondove pomoć slabije razvijenim područjima Hrvatske kako </w:t>
      </w:r>
      <w:proofErr w:type="gramStart"/>
      <w:r w:rsidRPr="0051678F">
        <w:rPr>
          <w:rFonts w:ascii="Times New Roman" w:hAnsi="Times New Roman" w:cs="Times New Roman"/>
          <w:color w:val="333333"/>
          <w:sz w:val="24"/>
          <w:szCs w:val="24"/>
        </w:rPr>
        <w:t>bi  pripremili</w:t>
      </w:r>
      <w:proofErr w:type="gramEnd"/>
      <w:r w:rsidRPr="0051678F">
        <w:rPr>
          <w:rFonts w:ascii="Times New Roman" w:hAnsi="Times New Roman" w:cs="Times New Roman"/>
          <w:color w:val="333333"/>
          <w:sz w:val="24"/>
          <w:szCs w:val="24"/>
        </w:rPr>
        <w:t xml:space="preserve"> najmanje 54 projekta prihvatljiva za EU fondove do listopada 2014.</w:t>
      </w:r>
    </w:p>
    <w:p w:rsidR="0051678F" w:rsidRPr="0051678F" w:rsidRDefault="0051678F" w:rsidP="0051678F">
      <w:pPr>
        <w:numPr>
          <w:ilvl w:val="0"/>
          <w:numId w:val="6"/>
        </w:numPr>
        <w:spacing w:after="0" w:line="293" w:lineRule="atLeast"/>
        <w:ind w:left="7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Očuvanje i jačanje 19 hrvatskih nacionalnih parkova i parkova prirode -nacionalnih zaštićenih područja poboljšanjem njihovog upravljanja financijama, poboljšanje infrastrukture, doživljaja posjetitelja i promocijom energetske učinkovitosti.</w:t>
      </w:r>
    </w:p>
    <w:p w:rsidR="0051678F" w:rsidRPr="0051678F" w:rsidRDefault="0051678F" w:rsidP="0051678F">
      <w:pPr>
        <w:pStyle w:val="Heading3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1678F">
        <w:rPr>
          <w:rFonts w:ascii="Times New Roman" w:hAnsi="Times New Roman" w:cs="Times New Roman"/>
          <w:color w:val="333333"/>
          <w:sz w:val="24"/>
          <w:szCs w:val="24"/>
        </w:rPr>
        <w:t>Donositelji odluka</w:t>
      </w:r>
    </w:p>
    <w:p w:rsidR="0051678F" w:rsidRPr="0051678F" w:rsidRDefault="0051678F" w:rsidP="0051678F">
      <w:pPr>
        <w:pStyle w:val="NormalWeb"/>
        <w:spacing w:before="0" w:beforeAutospacing="0" w:after="0" w:afterAutospacing="0" w:line="293" w:lineRule="atLeast"/>
        <w:textAlignment w:val="baseline"/>
        <w:rPr>
          <w:color w:val="333333"/>
        </w:rPr>
      </w:pPr>
      <w:r w:rsidRPr="0051678F">
        <w:rPr>
          <w:color w:val="333333"/>
        </w:rPr>
        <w:br/>
        <w:t>U skladu s izmjenjenim karakterom prisutnosti UNDP-a u Hrvatskoj te prestankom međunarodne funkcije koordinatora UN-a i stalnog predstavnika UNDP-a,</w:t>
      </w:r>
      <w:r w:rsidRPr="0051678F">
        <w:rPr>
          <w:rStyle w:val="apple-converted-space"/>
          <w:rFonts w:eastAsiaTheme="majorEastAsia"/>
          <w:color w:val="333333"/>
        </w:rPr>
        <w:t> </w:t>
      </w:r>
      <w:r w:rsidRPr="0051678F">
        <w:rPr>
          <w:b/>
          <w:bCs/>
          <w:color w:val="333333"/>
          <w:bdr w:val="none" w:sz="0" w:space="0" w:color="auto" w:frame="1"/>
        </w:rPr>
        <w:t>predstojnica Projektnog ureda (UNDP)</w:t>
      </w:r>
      <w:r w:rsidRPr="0051678F">
        <w:rPr>
          <w:rStyle w:val="apple-converted-space"/>
          <w:rFonts w:eastAsiaTheme="majorEastAsia"/>
          <w:color w:val="333333"/>
        </w:rPr>
        <w:t> </w:t>
      </w:r>
      <w:r w:rsidRPr="0051678F">
        <w:rPr>
          <w:color w:val="333333"/>
        </w:rPr>
        <w:t>je odgovorna pomoćnici Administratorice i direktorici UNDP-a za Europu i zemlje bivšeg SSSR-a za svakodnevno učinkovito upravljanje UNDP-ovim timom u Hrvatskoj uz preuzimanje cjelokupne odgovornosti za poslovanje UNDP-a kako bi se osigurala usklađenost i strateška usmjerenost UNDP-ovih aktivnosti.</w:t>
      </w:r>
      <w:r w:rsidRPr="0051678F">
        <w:rPr>
          <w:color w:val="333333"/>
        </w:rPr>
        <w:br/>
      </w:r>
      <w:r w:rsidRPr="0051678F">
        <w:rPr>
          <w:color w:val="333333"/>
        </w:rPr>
        <w:br/>
        <w:t>UNDP blisko surađuje</w:t>
      </w:r>
      <w:proofErr w:type="gramStart"/>
      <w:r w:rsidRPr="0051678F">
        <w:rPr>
          <w:color w:val="333333"/>
        </w:rPr>
        <w:t>  s</w:t>
      </w:r>
      <w:proofErr w:type="gramEnd"/>
      <w:r w:rsidRPr="0051678F">
        <w:rPr>
          <w:color w:val="333333"/>
        </w:rPr>
        <w:t xml:space="preserve"> Vladom Republike Hrvatske preko ključnih ministarstava, uprava i agencija. </w:t>
      </w:r>
      <w:proofErr w:type="gramStart"/>
      <w:r w:rsidRPr="0051678F">
        <w:rPr>
          <w:color w:val="333333"/>
        </w:rPr>
        <w:t>UNDP-ove programske aktivnosti se provode uz partnere, uključujući nacionalne i lokalne državne partnere kao i predstavnike civilnog društva.</w:t>
      </w:r>
      <w:proofErr w:type="gramEnd"/>
    </w:p>
    <w:p w:rsidR="003B539B" w:rsidRPr="0051678F" w:rsidRDefault="003B539B">
      <w:pPr>
        <w:rPr>
          <w:rFonts w:ascii="Times New Roman" w:hAnsi="Times New Roman" w:cs="Times New Roman"/>
          <w:b/>
          <w:sz w:val="24"/>
          <w:szCs w:val="24"/>
        </w:rPr>
      </w:pPr>
    </w:p>
    <w:sectPr w:rsidR="003B539B" w:rsidRPr="00516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F4E"/>
    <w:multiLevelType w:val="multilevel"/>
    <w:tmpl w:val="D77C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326E2"/>
    <w:multiLevelType w:val="multilevel"/>
    <w:tmpl w:val="B4BC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1C602F"/>
    <w:multiLevelType w:val="multilevel"/>
    <w:tmpl w:val="6FF2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E5049"/>
    <w:multiLevelType w:val="multilevel"/>
    <w:tmpl w:val="A0C8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32D97"/>
    <w:multiLevelType w:val="multilevel"/>
    <w:tmpl w:val="22D2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8624F"/>
    <w:multiLevelType w:val="multilevel"/>
    <w:tmpl w:val="7902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F7459C"/>
    <w:rsid w:val="003B539B"/>
    <w:rsid w:val="0051678F"/>
    <w:rsid w:val="00F7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459C"/>
  </w:style>
  <w:style w:type="character" w:customStyle="1" w:styleId="Heading3Char">
    <w:name w:val="Heading 3 Char"/>
    <w:basedOn w:val="DefaultParagraphFont"/>
    <w:link w:val="Heading3"/>
    <w:uiPriority w:val="9"/>
    <w:semiHidden/>
    <w:rsid w:val="003B53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3B53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331">
          <w:marLeft w:val="180"/>
          <w:marRight w:val="0"/>
          <w:marTop w:val="0"/>
          <w:marBottom w:val="0"/>
          <w:divBdr>
            <w:top w:val="none" w:sz="0" w:space="0" w:color="auto"/>
            <w:left w:val="single" w:sz="6" w:space="8" w:color="E8ECF0"/>
            <w:bottom w:val="none" w:sz="0" w:space="0" w:color="auto"/>
            <w:right w:val="none" w:sz="0" w:space="0" w:color="auto"/>
          </w:divBdr>
        </w:div>
      </w:divsChild>
    </w:div>
    <w:div w:id="536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.undp.org/content/bosnia_and_herzegovina/bs/home/mdgovervie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2016-01-29T13:51:00Z</dcterms:created>
  <dcterms:modified xsi:type="dcterms:W3CDTF">2016-01-29T13:51:00Z</dcterms:modified>
</cp:coreProperties>
</file>